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Molnar Dennis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58,014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01/24/2029</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330,210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42,240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148,788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37,064</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28,539</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12/21/2033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37,064</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09/19/2035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12,231</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8.88</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100% of the shares subject to such option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shares subject to such option vest and become exercisable when the Reporting Person completes twelve months of continuous service after December 22, 2022,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subject to such option vest and become exercisable when the Reporting Person completes twelve months of continuous service after December 21, 2023,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shares subject to such option vest and become exercisable when the Reporting Person completes twelve months of continuous service after September 17, 2025,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R. Lind,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45648-ex24.htm"/>
      <w:bookmarkStart w:id="3" w:name="ksck0001745648ex24"/>
      <w:bookmarkEnd w:id="2"/>
      <w:bookmarkEnd w:id="3"/>
      <w:r>
        <w:rPr/>
        <w:t> </w:t>
      </w:r>
      <w:r>
        <w:br w:type="page"/>
      </w:r>
    </w:p>
    <w:p>
      <w:pPr>
        <w:pStyle w:val="TextBody"/>
        <w:bidi w:val="0"/>
        <w:jc w:val="center"/>
        <w:rPr>
          <w:rFonts w:ascii="Times New Roman" w:hAnsi="Times New Roman"/>
          <w:b/>
          <w:color w:val="000000"/>
          <w:sz w:val="23"/>
        </w:rPr>
      </w:pPr>
      <w:r>
        <w:rPr>
          <w:rFonts w:ascii="Times New Roman" w:hAnsi="Times New Roman"/>
          <w:b/>
          <w:color w:val="000000"/>
          <w:sz w:val="23"/>
        </w:rPr>
        <w:t>LIMITED POWER OF ATTORNEY</w:t>
      </w:r>
    </w:p>
    <w:p>
      <w:pPr>
        <w:pStyle w:val="TextBody"/>
        <w:bidi w:val="0"/>
        <w:jc w:val="center"/>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constitutes and appoints each of Kevin R. Lind, Michael Kelly, Steven Spector and Bryan Corbett, signing singly, and with full power of substitution,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w:t>
      </w:r>
    </w:p>
    <w:p>
      <w:pPr>
        <w:pStyle w:val="TextBody"/>
        <w:bidi w:val="0"/>
        <w:jc w:val="both"/>
        <w:rPr>
          <w:rFonts w:ascii="Times New Roman" w:hAnsi="Times New Roman"/>
          <w:color w:val="000000"/>
          <w:sz w:val="23"/>
        </w:rPr>
      </w:pPr>
      <w:r>
        <w:rPr>
          <w:rFonts w:ascii="Times New Roman" w:hAnsi="Times New Roman"/>
          <w:color w:val="000000"/>
          <w:sz w:val="23"/>
        </w:rPr>
        <w:t>execute for and on behalf of the undersigned, in the undersigned's capacity as an officer and/or director of Apnimed,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 13D and (v)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(2)</w:t>
      </w:r>
    </w:p>
    <w:p>
      <w:pPr>
        <w:pStyle w:val="TextBody"/>
        <w:bidi w:val="0"/>
        <w:jc w:val="both"/>
        <w:rPr>
          <w:rFonts w:ascii="Times New Roman" w:hAnsi="Times New Roman"/>
          <w:color w:val="000000"/>
          <w:sz w:val="23"/>
        </w:rPr>
      </w:pPr>
      <w:r>
        <w:rPr>
          <w:rFonts w:ascii="Times New Roman" w:hAnsi="Times New Roman"/>
          <w:color w:val="000000"/>
          <w:sz w:val="23"/>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w:t>
      </w:r>
    </w:p>
    <w:p>
      <w:pPr>
        <w:pStyle w:val="TextBody"/>
        <w:bidi w:val="0"/>
        <w:jc w:val="both"/>
        <w:rPr>
          <w:rFonts w:ascii="Times New Roman" w:hAnsi="Times New Roman"/>
          <w:color w:val="000000"/>
          <w:sz w:val="23"/>
        </w:rPr>
      </w:pPr>
      <w:r>
        <w:rPr>
          <w:rFonts w:ascii="Times New Roman" w:hAnsi="Times New Roman"/>
          <w:color w:val="000000"/>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left"/>
        <w:rPr>
          <w:rFonts w:ascii="Times New Roman" w:hAnsi="Times New Roman"/>
          <w:color w:val="000000"/>
          <w:sz w:val="23"/>
        </w:rPr>
      </w:pPr>
      <w:r>
        <w:rPr>
          <w:rFonts w:ascii="Times New Roman" w:hAnsi="Times New Roman"/>
          <w:color w:val="000000"/>
          <w:sz w:val="23"/>
        </w:rPr>
        <w:t>IN WITNESS WHEREOF, the undersigned has caused this Power of Attorney to be executed as of July 30, 2026.</w:t>
      </w:r>
    </w:p>
    <w:p>
      <w:pPr>
        <w:pStyle w:val="TextBody"/>
        <w:bidi w:val="0"/>
        <w:jc w:val="left"/>
        <w:rPr/>
      </w:pPr>
      <w:r>
        <w:rPr/>
        <w:t> </w:t>
      </w:r>
    </w:p>
    <w:tbl>
      <w:tblPr>
        <w:tblW w:w="2363" w:type="dxa"/>
        <w:jc w:val="left"/>
        <w:tblInd w:w="0" w:type="dxa"/>
        <w:tblLayout w:type="fixed"/>
        <w:tblCellMar>
          <w:top w:w="28" w:type="dxa"/>
          <w:left w:w="28" w:type="dxa"/>
          <w:bottom w:w="28" w:type="dxa"/>
          <w:right w:w="28" w:type="dxa"/>
        </w:tblCellMar>
      </w:tblPr>
      <w:tblGrid>
        <w:gridCol w:w="161"/>
        <w:gridCol w:w="20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/s/ Dennis P. Molnar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Dennis P. Molnar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2371" TargetMode="External"/><Relationship Id="rId3" Type="http://schemas.openxmlformats.org/officeDocument/2006/relationships/hyperlink" Target="http://www.sec.gov/cgi-bin/browse-edgar?action=getcompany&amp;CIK=00017456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1269</Words>
  <Characters>6764</Characters>
  <CharactersWithSpaces>7934</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