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Apnimed,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07/31/2026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Ameriprise Financial,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7,476,992.00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7,476,992.00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7,476,992.00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18.9 %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5"/>
        <w:gridCol w:w="8020"/>
      </w:tblGrid>
      <w:tr>
        <w:trPr/>
        <w:tc>
          <w:tcPr>
            <w:tcW w:w="2185" w:type="dxa"/>
            <w:tcBorders/>
            <w:vAlign w:val="center"/>
          </w:tcPr>
          <w:p>
            <w:pPr>
              <w:pStyle w:val="TableContents"/>
              <w:bidi w:val="0"/>
              <w:spacing w:before="0" w:after="283"/>
              <w:jc w:val="left"/>
              <w:rPr/>
            </w:pPr>
            <w:r>
              <w:rPr/>
              <w:t>1</w:t>
            </w:r>
          </w:p>
        </w:tc>
        <w:tc>
          <w:tcPr>
            <w:tcW w:w="802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Columbia Management Investment Advisers, LLC</w:t>
            </w:r>
          </w:p>
        </w:tc>
      </w:tr>
      <w:tr>
        <w:trPr/>
        <w:tc>
          <w:tcPr>
            <w:tcW w:w="2185" w:type="dxa"/>
            <w:tcBorders/>
            <w:vAlign w:val="center"/>
          </w:tcPr>
          <w:p>
            <w:pPr>
              <w:pStyle w:val="TableContents"/>
              <w:bidi w:val="0"/>
              <w:spacing w:before="0" w:after="283"/>
              <w:jc w:val="left"/>
              <w:rPr/>
            </w:pPr>
            <w:r>
              <w:rPr/>
              <w:t>2</w:t>
            </w:r>
          </w:p>
        </w:tc>
        <w:tc>
          <w:tcPr>
            <w:tcW w:w="802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5" w:type="dxa"/>
            <w:tcBorders/>
            <w:vAlign w:val="center"/>
          </w:tcPr>
          <w:p>
            <w:pPr>
              <w:pStyle w:val="TableContents"/>
              <w:bidi w:val="0"/>
              <w:spacing w:before="0" w:after="283"/>
              <w:jc w:val="left"/>
              <w:rPr/>
            </w:pPr>
            <w:r>
              <w:rPr/>
              <w:t>3</w:t>
            </w:r>
          </w:p>
        </w:tc>
        <w:tc>
          <w:tcPr>
            <w:tcW w:w="8020" w:type="dxa"/>
            <w:tcBorders/>
            <w:vAlign w:val="center"/>
          </w:tcPr>
          <w:p>
            <w:pPr>
              <w:pStyle w:val="TableContents"/>
              <w:bidi w:val="0"/>
              <w:spacing w:before="0" w:after="283"/>
              <w:jc w:val="left"/>
              <w:rPr/>
            </w:pPr>
            <w:r>
              <w:rPr/>
              <w:t>Sec Use Only</w:t>
            </w:r>
          </w:p>
        </w:tc>
      </w:tr>
      <w:tr>
        <w:trPr/>
        <w:tc>
          <w:tcPr>
            <w:tcW w:w="2185" w:type="dxa"/>
            <w:tcBorders/>
            <w:vAlign w:val="center"/>
          </w:tcPr>
          <w:p>
            <w:pPr>
              <w:pStyle w:val="TableContents"/>
              <w:bidi w:val="0"/>
              <w:spacing w:before="0" w:after="283"/>
              <w:jc w:val="left"/>
              <w:rPr/>
            </w:pPr>
            <w:r>
              <w:rPr/>
              <w:t>4</w:t>
            </w:r>
          </w:p>
        </w:tc>
        <w:tc>
          <w:tcPr>
            <w:tcW w:w="802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MINNESOTA </w:t>
            </w:r>
          </w:p>
        </w:tc>
      </w:tr>
      <w:tr>
        <w:trPr/>
        <w:tc>
          <w:tcPr>
            <w:tcW w:w="218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7,476,992.00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7,476,992.00</w:t>
                  </w:r>
                </w:p>
              </w:tc>
            </w:tr>
          </w:tbl>
          <w:p>
            <w:pPr>
              <w:pStyle w:val="TableContents"/>
              <w:bidi w:val="0"/>
              <w:spacing w:before="0" w:after="283"/>
              <w:jc w:val="left"/>
              <w:rPr/>
            </w:pPr>
            <w:r>
              <w:rPr/>
            </w:r>
          </w:p>
        </w:tc>
        <w:tc>
          <w:tcPr>
            <w:tcW w:w="8020" w:type="dxa"/>
            <w:tcBorders/>
            <w:vAlign w:val="center"/>
          </w:tcPr>
          <w:p>
            <w:pPr>
              <w:pStyle w:val="TableContents"/>
              <w:bidi w:val="0"/>
              <w:spacing w:before="0" w:after="283"/>
              <w:jc w:val="left"/>
              <w:rPr>
                <w:sz w:val="4"/>
                <w:szCs w:val="4"/>
              </w:rPr>
            </w:pPr>
            <w:r>
              <w:rPr>
                <w:sz w:val="4"/>
                <w:szCs w:val="4"/>
              </w:rPr>
            </w:r>
          </w:p>
        </w:tc>
      </w:tr>
      <w:tr>
        <w:trPr/>
        <w:tc>
          <w:tcPr>
            <w:tcW w:w="2185" w:type="dxa"/>
            <w:tcBorders/>
            <w:vAlign w:val="center"/>
          </w:tcPr>
          <w:p>
            <w:pPr>
              <w:pStyle w:val="TableContents"/>
              <w:bidi w:val="0"/>
              <w:spacing w:before="0" w:after="283"/>
              <w:jc w:val="left"/>
              <w:rPr/>
            </w:pPr>
            <w:r>
              <w:rPr/>
              <w:t>9</w:t>
            </w:r>
          </w:p>
        </w:tc>
        <w:tc>
          <w:tcPr>
            <w:tcW w:w="802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7,476,992.00</w:t>
            </w:r>
          </w:p>
        </w:tc>
      </w:tr>
      <w:tr>
        <w:trPr/>
        <w:tc>
          <w:tcPr>
            <w:tcW w:w="2185" w:type="dxa"/>
            <w:tcBorders/>
            <w:vAlign w:val="center"/>
          </w:tcPr>
          <w:p>
            <w:pPr>
              <w:pStyle w:val="TableContents"/>
              <w:bidi w:val="0"/>
              <w:spacing w:before="0" w:after="283"/>
              <w:jc w:val="left"/>
              <w:rPr/>
            </w:pPr>
            <w:r>
              <w:rPr/>
              <w:t>10</w:t>
            </w:r>
          </w:p>
        </w:tc>
        <w:tc>
          <w:tcPr>
            <w:tcW w:w="802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5" w:type="dxa"/>
            <w:tcBorders/>
            <w:vAlign w:val="center"/>
          </w:tcPr>
          <w:p>
            <w:pPr>
              <w:pStyle w:val="TableContents"/>
              <w:bidi w:val="0"/>
              <w:spacing w:before="0" w:after="283"/>
              <w:jc w:val="left"/>
              <w:rPr/>
            </w:pPr>
            <w:r>
              <w:rPr/>
              <w:t>11</w:t>
            </w:r>
          </w:p>
        </w:tc>
        <w:tc>
          <w:tcPr>
            <w:tcW w:w="802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18.9 % </w:t>
            </w:r>
          </w:p>
        </w:tc>
      </w:tr>
      <w:tr>
        <w:trPr/>
        <w:tc>
          <w:tcPr>
            <w:tcW w:w="2185" w:type="dxa"/>
            <w:tcBorders/>
            <w:vAlign w:val="center"/>
          </w:tcPr>
          <w:p>
            <w:pPr>
              <w:pStyle w:val="TableContents"/>
              <w:bidi w:val="0"/>
              <w:spacing w:before="0" w:after="283"/>
              <w:jc w:val="left"/>
              <w:rPr/>
            </w:pPr>
            <w:r>
              <w:rPr/>
              <w:t>12</w:t>
            </w:r>
          </w:p>
        </w:tc>
        <w:tc>
          <w:tcPr>
            <w:tcW w:w="802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Columbia Seligman Technology and Information Fund</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7,198,843.00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7,198,843.00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9</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7,198,843.00</w:t>
            </w:r>
          </w:p>
        </w:tc>
      </w:tr>
      <w:tr>
        <w:trPr/>
        <w:tc>
          <w:tcPr>
            <w:tcW w:w="2147" w:type="dxa"/>
            <w:tcBorders/>
            <w:vAlign w:val="center"/>
          </w:tcPr>
          <w:p>
            <w:pPr>
              <w:pStyle w:val="TableContents"/>
              <w:bidi w:val="0"/>
              <w:spacing w:before="0" w:after="283"/>
              <w:jc w:val="left"/>
              <w:rPr/>
            </w:pPr>
            <w:r>
              <w:rPr/>
              <w:t>10</w:t>
            </w:r>
          </w:p>
        </w:tc>
        <w:tc>
          <w:tcPr>
            <w:tcW w:w="805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18.2 % </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IV</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47"/>
        <w:gridCol w:w="8903"/>
        <w:gridCol w:w="155"/>
      </w:tblGrid>
      <w:tr>
        <w:trPr/>
        <w:tc>
          <w:tcPr>
            <w:tcW w:w="1147" w:type="dxa"/>
            <w:tcBorders/>
            <w:vAlign w:val="center"/>
          </w:tcPr>
          <w:p>
            <w:pPr>
              <w:pStyle w:val="TableContents"/>
              <w:bidi w:val="0"/>
              <w:spacing w:before="0" w:after="283"/>
              <w:jc w:val="left"/>
              <w:rPr/>
            </w:pPr>
            <w:r>
              <w:rPr/>
              <w:t>Item 1.</w:t>
            </w:r>
          </w:p>
        </w:tc>
        <w:tc>
          <w:tcPr>
            <w:tcW w:w="890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(a)</w:t>
            </w:r>
          </w:p>
        </w:tc>
        <w:tc>
          <w:tcPr>
            <w:tcW w:w="8903" w:type="dxa"/>
            <w:tcBorders/>
            <w:vAlign w:val="center"/>
          </w:tcPr>
          <w:p>
            <w:pPr>
              <w:pStyle w:val="TableContents"/>
              <w:bidi w:val="0"/>
              <w:jc w:val="left"/>
              <w:rPr/>
            </w:pPr>
            <w:r>
              <w:rPr/>
              <w:t xml:space="preserve">Name of issuer: </w:t>
            </w:r>
          </w:p>
          <w:p>
            <w:pPr>
              <w:pStyle w:val="TableContents"/>
              <w:bidi w:val="0"/>
              <w:spacing w:before="0" w:after="0"/>
              <w:jc w:val="left"/>
              <w:rPr/>
            </w:pPr>
            <w:r>
              <w:rPr/>
              <w:t>Apnimed, Inc.</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(b)</w:t>
            </w:r>
          </w:p>
        </w:tc>
        <w:tc>
          <w:tcPr>
            <w:tcW w:w="890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39 John F. Kennedy Street, 4th Floor, Cambridge, MA 02138</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2.</w:t>
            </w:r>
          </w:p>
        </w:tc>
        <w:tc>
          <w:tcPr>
            <w:tcW w:w="890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(a)</w:t>
            </w:r>
          </w:p>
        </w:tc>
        <w:tc>
          <w:tcPr>
            <w:tcW w:w="8903" w:type="dxa"/>
            <w:tcBorders/>
            <w:vAlign w:val="center"/>
          </w:tcPr>
          <w:p>
            <w:pPr>
              <w:pStyle w:val="TableContents"/>
              <w:bidi w:val="0"/>
              <w:jc w:val="left"/>
              <w:rPr/>
            </w:pPr>
            <w:r>
              <w:rPr/>
              <w:t xml:space="preserve">Name of person filing: </w:t>
            </w:r>
          </w:p>
          <w:p>
            <w:pPr>
              <w:pStyle w:val="TableContents"/>
              <w:bidi w:val="0"/>
              <w:spacing w:before="0" w:after="0"/>
              <w:jc w:val="left"/>
              <w:rPr/>
            </w:pPr>
            <w:r>
              <w:rPr/>
              <w:t>(a) Ameriprise Financial, Inc. ("AFI") (b) Columbia Management Investment Advisers, LLC ("CMIA") (c) Columbia Seligman Technology and Information Fund ("Fund")</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(b)</w:t>
            </w:r>
          </w:p>
        </w:tc>
        <w:tc>
          <w:tcPr>
            <w:tcW w:w="890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(a) 145 Ameriprise Financial Center, Minneapolis, MN 55474 (b) 290 Congress Street, Boston, MA 02210 (c) 290 Congress Street, Boston, MA 02210</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(c)</w:t>
            </w:r>
          </w:p>
        </w:tc>
        <w:tc>
          <w:tcPr>
            <w:tcW w:w="8903" w:type="dxa"/>
            <w:tcBorders/>
            <w:vAlign w:val="center"/>
          </w:tcPr>
          <w:p>
            <w:pPr>
              <w:pStyle w:val="TableContents"/>
              <w:bidi w:val="0"/>
              <w:jc w:val="left"/>
              <w:rPr/>
            </w:pPr>
            <w:r>
              <w:rPr/>
              <w:t xml:space="preserve">Citizenship: </w:t>
            </w:r>
          </w:p>
          <w:p>
            <w:pPr>
              <w:pStyle w:val="TableContents"/>
              <w:bidi w:val="0"/>
              <w:spacing w:before="0" w:after="0"/>
              <w:jc w:val="left"/>
              <w:rPr/>
            </w:pPr>
            <w:r>
              <w:rPr/>
              <w:t>(a) Delaware (b) Minnesota (c) Massachusetts</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(d)</w:t>
            </w:r>
          </w:p>
        </w:tc>
        <w:tc>
          <w:tcPr>
            <w:tcW w:w="890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(e)</w:t>
            </w:r>
          </w:p>
        </w:tc>
        <w:tc>
          <w:tcPr>
            <w:tcW w:w="890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3.</w:t>
            </w:r>
          </w:p>
        </w:tc>
        <w:tc>
          <w:tcPr>
            <w:tcW w:w="890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(a)</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(b)</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(c)</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(d)</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(e)</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(f)</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(g)</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(h)</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(j)</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(k)</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9058" w:type="dxa"/>
            <w:gridSpan w:val="2"/>
            <w:tcBorders/>
            <w:vAlign w:val="center"/>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4.</w:t>
            </w:r>
          </w:p>
        </w:tc>
        <w:tc>
          <w:tcPr>
            <w:tcW w:w="890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(a)</w:t>
            </w:r>
          </w:p>
        </w:tc>
        <w:tc>
          <w:tcPr>
            <w:tcW w:w="890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 xml:space="preserve">Incorporated by reference to Items (5)-(9) and (11) of the cover page pertaining to each reporting person. CMIA and AFI do not directly own any shares of Common Stock of the issuer. As the investment adviser to the Fund and various other unregistered and registered investment companies and other managed accounts, CMIA may be deemed to beneficially own the shares reported herein by the Fund. Accordingly, the shares reported herein by CMIA include those shares separately reported herein by the Fund. As the parent holding company of CMIA, AFI may be deemed to beneficially own the shares reported herein by CMIA. Accordingly, the shares reported herein by AFI include those shares separately reported herein by CMIA. Each of AFI and CMIA, and the subsidiaries identified on the attached Exhibit I, disclaims beneficial ownership of any shares reported on this Schedule.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(b)</w:t>
            </w:r>
          </w:p>
        </w:tc>
        <w:tc>
          <w:tcPr>
            <w:tcW w:w="890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information required by Item 4(b) is set forth in Rows (5)-(9) and (11) of the cover page for each Reporting Person hereto and is incorporated herein by reference for each Reporting Person.  %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(c)</w:t>
            </w:r>
          </w:p>
        </w:tc>
        <w:tc>
          <w:tcPr>
            <w:tcW w:w="890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 is set forth in Rows (5)-(9) and (11) of the cover page for each Reporting Person hereto and is incorporated herein by reference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 is set forth in Rows (5)-(9) and (11) of the cover page for each Reporting Person hereto and is incorporated herein by reference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 is set forth in Rows (5)-(9) and (11) of the cover page for each Reporting Person hereto and is incorporated herein by reference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 is set forth in Rows (5)-(9) and (11) of the cover page for each Reporting Person hereto and is incorporated herein by reference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5.</w:t>
            </w:r>
          </w:p>
        </w:tc>
        <w:tc>
          <w:tcPr>
            <w:tcW w:w="890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6.</w:t>
            </w:r>
          </w:p>
        </w:tc>
        <w:tc>
          <w:tcPr>
            <w:tcW w:w="890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To the knowledge of AFI, CMIA and the Fund, no other persons besides AFI, CMIA and the Fund and those persons for whose shares of common stock CMIA and AFI report beneficial ownership have the right to receive or the power to direct the receipt of dividends from or the proceeds from the sale of the securities of the issuer reported herein. As of July 31, 2026, only the Fund owned more than 5% of the class of securities reported herein. Any remaining shares reported herein by CMIA are held by various other funds or accounts managed by CMIA which each have the right to receive any dividends paid by the issuer and could terminate their respective investment advisory relationship with CMIA and then subsequently direct the use of proceeds from the sale of the common stock owned by such fund or account. To CMIA's knowledge, none of these other funds or accounts own more than 5% of the outstanding shares of the issuer as of July 31, 2026.</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7.</w:t>
            </w:r>
          </w:p>
        </w:tc>
        <w:tc>
          <w:tcPr>
            <w:tcW w:w="890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AFI: See Exhibit I</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8.</w:t>
            </w:r>
          </w:p>
        </w:tc>
        <w:tc>
          <w:tcPr>
            <w:tcW w:w="890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9.</w:t>
            </w:r>
          </w:p>
        </w:tc>
        <w:tc>
          <w:tcPr>
            <w:tcW w:w="890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540" w:type="dxa"/>
        <w:jc w:val="left"/>
        <w:tblInd w:w="0" w:type="dxa"/>
        <w:tblLayout w:type="fixed"/>
        <w:tblCellMar>
          <w:top w:w="28" w:type="dxa"/>
          <w:left w:w="28" w:type="dxa"/>
          <w:bottom w:w="28" w:type="dxa"/>
          <w:right w:w="28" w:type="dxa"/>
        </w:tblCellMar>
      </w:tblPr>
      <w:tblGrid>
        <w:gridCol w:w="2770"/>
        <w:gridCol w:w="2770"/>
      </w:tblGrid>
      <w:tr>
        <w:trPr/>
        <w:tc>
          <w:tcPr>
            <w:tcW w:w="2770" w:type="dxa"/>
            <w:tcBorders/>
            <w:vAlign w:val="center"/>
          </w:tcPr>
          <w:p>
            <w:pPr>
              <w:pStyle w:val="TableContents"/>
              <w:bidi w:val="0"/>
              <w:spacing w:before="0" w:after="0"/>
              <w:jc w:val="left"/>
              <w:rPr/>
            </w:pPr>
            <w:r>
              <w:rPr/>
              <w:t> </w:t>
            </w:r>
          </w:p>
          <w:tbl>
            <w:tblPr>
              <w:tblW w:w="2626" w:type="dxa"/>
              <w:jc w:val="left"/>
              <w:tblInd w:w="0" w:type="dxa"/>
              <w:tblLayout w:type="fixed"/>
              <w:tblCellMar>
                <w:top w:w="28" w:type="dxa"/>
                <w:left w:w="28" w:type="dxa"/>
                <w:bottom w:w="28" w:type="dxa"/>
                <w:right w:w="28" w:type="dxa"/>
              </w:tblCellMar>
            </w:tblPr>
            <w:tblGrid>
              <w:gridCol w:w="2626"/>
            </w:tblGrid>
            <w:tr>
              <w:trPr/>
              <w:tc>
                <w:tcPr>
                  <w:tcW w:w="2626" w:type="dxa"/>
                  <w:tcBorders/>
                  <w:vAlign w:val="center"/>
                </w:tcPr>
                <w:p>
                  <w:pPr>
                    <w:pStyle w:val="TableContents"/>
                    <w:bidi w:val="0"/>
                    <w:spacing w:before="0" w:after="0"/>
                    <w:jc w:val="left"/>
                    <w:rPr/>
                  </w:pPr>
                  <w:r>
                    <w:rPr/>
                    <w:t>Ameriprise Financial, Inc.</w:t>
                  </w:r>
                </w:p>
              </w:tc>
            </w:tr>
          </w:tbl>
          <w:p>
            <w:pPr>
              <w:pStyle w:val="TableContents"/>
              <w:bidi w:val="0"/>
              <w:spacing w:before="0" w:after="283"/>
              <w:jc w:val="left"/>
              <w:rPr/>
            </w:pPr>
            <w:r>
              <w:rPr/>
            </w:r>
          </w:p>
        </w:tc>
        <w:tc>
          <w:tcPr>
            <w:tcW w:w="277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7"/>
        <w:gridCol w:w="4308"/>
      </w:tblGrid>
      <w:tr>
        <w:trPr/>
        <w:tc>
          <w:tcPr>
            <w:tcW w:w="589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Michael G. Clarke</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Michael G. Clarke, Senior Vice President, North America Head of Operations &amp; Investor Services</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3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04"/>
        <w:gridCol w:w="5101"/>
      </w:tblGrid>
      <w:tr>
        <w:trPr/>
        <w:tc>
          <w:tcPr>
            <w:tcW w:w="5104" w:type="dxa"/>
            <w:tcBorders/>
            <w:vAlign w:val="center"/>
          </w:tcPr>
          <w:p>
            <w:pPr>
              <w:pStyle w:val="TableContents"/>
              <w:bidi w:val="0"/>
              <w:spacing w:before="0" w:after="0"/>
              <w:jc w:val="left"/>
              <w:rPr/>
            </w:pPr>
            <w:r>
              <w:rPr/>
              <w:t> </w:t>
            </w:r>
          </w:p>
          <w:tbl>
            <w:tblPr>
              <w:tblW w:w="4966" w:type="dxa"/>
              <w:jc w:val="left"/>
              <w:tblInd w:w="0" w:type="dxa"/>
              <w:tblLayout w:type="fixed"/>
              <w:tblCellMar>
                <w:top w:w="28" w:type="dxa"/>
                <w:left w:w="28" w:type="dxa"/>
                <w:bottom w:w="28" w:type="dxa"/>
                <w:right w:w="28" w:type="dxa"/>
              </w:tblCellMar>
            </w:tblPr>
            <w:tblGrid>
              <w:gridCol w:w="4966"/>
            </w:tblGrid>
            <w:tr>
              <w:trPr/>
              <w:tc>
                <w:tcPr>
                  <w:tcW w:w="4966" w:type="dxa"/>
                  <w:tcBorders/>
                  <w:vAlign w:val="center"/>
                </w:tcPr>
                <w:p>
                  <w:pPr>
                    <w:pStyle w:val="TableContents"/>
                    <w:bidi w:val="0"/>
                    <w:spacing w:before="0" w:after="0"/>
                    <w:jc w:val="left"/>
                    <w:rPr/>
                  </w:pPr>
                  <w:r>
                    <w:rPr/>
                    <w:t>Columbia Management Investment Advisers, LLC</w:t>
                  </w:r>
                </w:p>
              </w:tc>
            </w:tr>
          </w:tbl>
          <w:p>
            <w:pPr>
              <w:pStyle w:val="TableContents"/>
              <w:bidi w:val="0"/>
              <w:spacing w:before="0" w:after="283"/>
              <w:jc w:val="left"/>
              <w:rPr/>
            </w:pPr>
            <w:r>
              <w:rPr/>
            </w:r>
          </w:p>
        </w:tc>
        <w:tc>
          <w:tcPr>
            <w:tcW w:w="510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7"/>
        <w:gridCol w:w="4308"/>
      </w:tblGrid>
      <w:tr>
        <w:trPr/>
        <w:tc>
          <w:tcPr>
            <w:tcW w:w="589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Michael G. Clarke</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Michael G. Clarke, Senior Vice President, North America Head of Operations &amp; Investor Services</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3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57"/>
        <w:gridCol w:w="5048"/>
      </w:tblGrid>
      <w:tr>
        <w:trPr/>
        <w:tc>
          <w:tcPr>
            <w:tcW w:w="5157" w:type="dxa"/>
            <w:tcBorders/>
            <w:vAlign w:val="center"/>
          </w:tcPr>
          <w:p>
            <w:pPr>
              <w:pStyle w:val="TableContents"/>
              <w:bidi w:val="0"/>
              <w:spacing w:before="0" w:after="0"/>
              <w:jc w:val="left"/>
              <w:rPr/>
            </w:pPr>
            <w:r>
              <w:rPr/>
              <w:t> </w:t>
            </w:r>
          </w:p>
          <w:tbl>
            <w:tblPr>
              <w:tblW w:w="5371" w:type="dxa"/>
              <w:jc w:val="left"/>
              <w:tblInd w:w="0" w:type="dxa"/>
              <w:tblLayout w:type="fixed"/>
              <w:tblCellMar>
                <w:top w:w="28" w:type="dxa"/>
                <w:left w:w="28" w:type="dxa"/>
                <w:bottom w:w="28" w:type="dxa"/>
                <w:right w:w="28" w:type="dxa"/>
              </w:tblCellMar>
            </w:tblPr>
            <w:tblGrid>
              <w:gridCol w:w="5371"/>
            </w:tblGrid>
            <w:tr>
              <w:trPr/>
              <w:tc>
                <w:tcPr>
                  <w:tcW w:w="5371" w:type="dxa"/>
                  <w:tcBorders/>
                  <w:vAlign w:val="center"/>
                </w:tcPr>
                <w:p>
                  <w:pPr>
                    <w:pStyle w:val="TableContents"/>
                    <w:bidi w:val="0"/>
                    <w:spacing w:before="0" w:after="0"/>
                    <w:jc w:val="left"/>
                    <w:rPr/>
                  </w:pPr>
                  <w:r>
                    <w:rPr/>
                    <w:t>Columbia Seligman Technology and Information Fund</w:t>
                  </w:r>
                </w:p>
              </w:tc>
            </w:tr>
          </w:tbl>
          <w:p>
            <w:pPr>
              <w:pStyle w:val="TableContents"/>
              <w:bidi w:val="0"/>
              <w:spacing w:before="0" w:after="283"/>
              <w:jc w:val="left"/>
              <w:rPr/>
            </w:pPr>
            <w:r>
              <w:rPr/>
            </w:r>
          </w:p>
        </w:tc>
        <w:tc>
          <w:tcPr>
            <w:tcW w:w="50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0"/>
        <w:gridCol w:w="4375"/>
      </w:tblGrid>
      <w:tr>
        <w:trPr/>
        <w:tc>
          <w:tcPr>
            <w:tcW w:w="583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Michael G. Clarke</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Michael G. Clarke, Senior Vice President &amp; Chief Financial Officer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37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Contact Information Charles Chiesa VP Fund Treasurer Global Operations and Investor Services Telephone: 617-385-9593</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Index Exhibit I Identification and Classification of the Subsidiary which Acquired the Security Being Reported on by the Parent Holding Company. Exhibit II Joint Filing Agreement</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1714</Words>
  <Characters>8882</Characters>
  <CharactersWithSpaces>10546</CharactersWithSpaces>
  <Paragraphs>257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