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Alpha Wave Ventures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135"/>
        <w:gridCol w:w="426"/>
        <w:gridCol w:w="647"/>
        <w:gridCol w:w="1242"/>
        <w:gridCol w:w="962"/>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1,001,651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1,001,651</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534,214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1,535,865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4,006,611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5,542,476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1,512,480</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7,054,956</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319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1131"/>
        <w:gridCol w:w="906"/>
        <w:gridCol w:w="801"/>
        <w:gridCol w:w="891"/>
        <w:gridCol w:w="1101"/>
        <w:gridCol w:w="801"/>
        <w:gridCol w:w="936"/>
        <w:gridCol w:w="831"/>
        <w:gridCol w:w="981"/>
      </w:tblGrid>
      <w:tr>
        <w:trPr>
          <w:tblHeader w:val="true"/>
        </w:trPr>
        <w:tc>
          <w:tcPr>
            <w:tcW w:w="131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C-1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1,351,227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Common Stock</w:t>
            </w:r>
            <w:r>
              <w:rPr>
                <w:rFonts w:ascii="Times;serif" w:hAnsi="Times;serif"/>
                <w:color w:val="008000"/>
                <w:position w:val="7"/>
                <w:sz w:val="16"/>
                <w:sz w:val="20"/>
                <w:shd w:fill="FFFFFF" w:val="clear"/>
              </w:rPr>
              <w:t>(2)</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1,001,651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C-2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720,655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Common Stock</w:t>
            </w:r>
            <w:r>
              <w:rPr>
                <w:rFonts w:ascii="Times;serif" w:hAnsi="Times;serif"/>
                <w:color w:val="008000"/>
                <w:position w:val="7"/>
                <w:sz w:val="16"/>
                <w:sz w:val="20"/>
                <w:shd w:fill="FFFFFF" w:val="clear"/>
              </w:rPr>
              <w:t>(2)</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C-3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5,404,918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Common Stock</w:t>
            </w:r>
            <w:r>
              <w:rPr>
                <w:rFonts w:ascii="Times;serif" w:hAnsi="Times;serif"/>
                <w:color w:val="008000"/>
                <w:position w:val="7"/>
                <w:sz w:val="16"/>
                <w:sz w:val="20"/>
                <w:shd w:fill="FFFFFF" w:val="clear"/>
              </w:rPr>
              <w:t>(2)</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4,006,611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21,779,726</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Common Stock</w:t>
            </w:r>
            <w:r>
              <w:rPr>
                <w:rFonts w:ascii="Times;serif" w:hAnsi="Times;serif"/>
                <w:color w:val="008000"/>
                <w:position w:val="7"/>
                <w:sz w:val="16"/>
                <w:sz w:val="20"/>
                <w:shd w:fill="FFFFFF" w:val="clear"/>
              </w:rPr>
              <w:t>(2)</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1,512,480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Alpha Wave Ventures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Alpha Wave Global,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Lunate Holding RSC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 FLOOR 12, AL MARYAH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GLOBAL MARKET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MARYAH ISLAND, ABU DHABI</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ARAB EMIRATES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Chimera Investment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RG PROCUREMENT RESTRICTED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EAST 0.48, AL MUNTAZAH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ARAB EMIRATES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closing of the Issuer's initial public offering (the "IPO"), each share of the Company's Preferred Stock automatically converted into one share of Class A Common Stock on a 0.741-for-one basis immediately prior to the closing of the IPO without payment of additional consideration, which shares were then reclassified into shares of Common Stock pursuant to the Reclassification described in footnote 2. The Preferred Stock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a reclassification exempt under Rule 16b-7, each share of Class A Common Stock was reclassified into one share of Common Stock immediately prior to the closing of the IPO (the "Reclassification").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Alpha Wave Ventures II, LP ("Alpha Wave Ventures"). Alpha Wave Ventures GP, Ltd ("Alpha Wave Ventures GP") is the general partner of Alpha Wave Ventures. Alpha Wave Ventures GP is a joint venture between Alpha Wave Global, LP ("Alpha Wave") and Lunate Holding RSC LTD ("Lunate"). Lunate is majority-owned by Chimera Investment LLC ("Chimera," together with Alpha Wave Ventures GP, Alpha Wave and Lunate, the "Reporting Persons"). Richard Gerson is the Chairman and Chief Investment Officer of Alpha Wave. Chimera is controlled by its board of directors. The managing partners of Lunate Capital Limited, a wholly-owned investment manager subsidiary of Lunate, manage the investment activities of Lunate.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For purposes of Section 16 of the Securities Exchange Act of 1934, each of the Reporting Persons expressly disclaims beneficial ownership of the securities reported herein except to the extent of his or its pecuniary interest therein, if any, and this report shall not be deemed an admission that any of the Reporting Persons is the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$1,779,726 of accrued and unpaid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principal amount of the Convertible Promissory Note (the "Note") (together with accrued interest thereon) automatically converted upon the closing of the IPO into shares of Common Stock. The number of shares reported represents the outstanding principal amount of $20,000,000 plus accrued interest of $1,779,726 as of the IPO closing date, divided by the conversion price of $14.40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maturity date of the Note was September 17, 2027, but it automatically converted upon the closing of the IPO prior to the maturity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Alpha Wave Global, LP, /s/ Richard Gerson, Chairman and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Alpha Wave Ventures GP, Ltd, By: /s/ Richard Gerson,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Lunate Holding RSC LTD, By: /s/ Syed Basar Shueb Syed Shueb, Director and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Chimera Investment LLC, By: /s/ Syed Basar Shueb Syed Shueb, Director and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7422" TargetMode="External"/><Relationship Id="rId5" Type="http://schemas.openxmlformats.org/officeDocument/2006/relationships/hyperlink" Target="http://www.sec.gov/cgi-bin/browse-edgar?action=getcompany&amp;CIK=0001745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07422" TargetMode="External"/><Relationship Id="rId9" Type="http://schemas.openxmlformats.org/officeDocument/2006/relationships/hyperlink" Target="http://www.sec.gov/cgi-bin/browse-edgar?action=getcompany&amp;CIK=0001558858" TargetMode="External"/><Relationship Id="rId10" Type="http://schemas.openxmlformats.org/officeDocument/2006/relationships/hyperlink" Target="http://www.sec.gov/cgi-bin/browse-edgar?action=getcompany&amp;CIK=0002009522" TargetMode="External"/><Relationship Id="rId11" Type="http://schemas.openxmlformats.org/officeDocument/2006/relationships/hyperlink" Target="http://www.sec.gov/cgi-bin/browse-edgar?action=getcompany&amp;CIK=000200988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1226</Words>
  <Characters>6645</Characters>
  <CharactersWithSpaces>7656</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