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6" w:space="6" w:color="000000"/>
        </w:pBdr>
        <w:bidi w:val="0"/>
        <w:jc w:val="left"/>
        <w:rPr/>
      </w:pPr>
      <w:bookmarkStart w:id="0" w:name="apmd-20260908.htm"/>
      <w:bookmarkStart w:id="1" w:name="ksapmd20260908"/>
      <w:bookmarkEnd w:id="0"/>
      <w:bookmarkEnd w:id="1"/>
      <w:r>
        <w:rPr/>
        <w:t> </w:t>
      </w:r>
    </w:p>
    <w:p>
      <w:pPr>
        <w:pStyle w:val="TextBody"/>
        <w:bidi w:val="0"/>
        <w:spacing w:before="80" w:after="283"/>
        <w:jc w:val="center"/>
        <w:rPr>
          <w:rFonts w:ascii="Times New Roman" w:hAnsi="Times New Roman"/>
          <w:sz w:val="36"/>
        </w:rPr>
      </w:pPr>
      <w:r>
        <w:rPr>
          <w:rFonts w:ascii="Times New Roman" w:hAnsi="Times New Roman"/>
          <w:b/>
          <w:color w:val="000000"/>
          <w:sz w:val="36"/>
        </w:rPr>
        <w:t>UNITED STATES</w:t>
      </w:r>
      <w:r>
        <w:rPr>
          <w:rFonts w:ascii="Times New Roman" w:hAnsi="Times New Roman"/>
          <w:color w:val="000000"/>
          <w:sz w:val="36"/>
        </w:rPr>
        <w:t xml:space="preserve"> </w:t>
      </w:r>
    </w:p>
    <w:p>
      <w:pPr>
        <w:pStyle w:val="TextBody"/>
        <w:bidi w:val="0"/>
        <w:jc w:val="center"/>
        <w:rPr>
          <w:rFonts w:ascii="Times New Roman" w:hAnsi="Times New Roman"/>
          <w:sz w:val="36"/>
        </w:rPr>
      </w:pPr>
      <w:r>
        <w:rPr>
          <w:rFonts w:ascii="Times New Roman" w:hAnsi="Times New Roman"/>
          <w:b/>
          <w:color w:val="000000"/>
          <w:sz w:val="36"/>
        </w:rPr>
        <w:t>SECURITIES AND EXCHANGE COMMISSION</w:t>
      </w:r>
      <w:r>
        <w:rPr>
          <w:rFonts w:ascii="Times New Roman" w:hAnsi="Times New Roman"/>
          <w:color w:val="000000"/>
          <w:sz w:val="36"/>
        </w:rPr>
        <w:t xml:space="preserve"> </w:t>
      </w:r>
    </w:p>
    <w:p>
      <w:pPr>
        <w:pStyle w:val="TextBody"/>
        <w:bidi w:val="0"/>
        <w:jc w:val="center"/>
        <w:rPr>
          <w:rFonts w:ascii="Times New Roman" w:hAnsi="Times New Roman"/>
          <w:sz w:val="24"/>
        </w:rPr>
      </w:pPr>
      <w:r>
        <w:rPr>
          <w:rFonts w:ascii="Times New Roman" w:hAnsi="Times New Roman"/>
          <w:b/>
          <w:color w:val="000000"/>
          <w:sz w:val="24"/>
        </w:rPr>
        <w:t>Washington, D.C. 20549</w:t>
      </w:r>
      <w:r>
        <w:rPr>
          <w:rFonts w:ascii="Times New Roman" w:hAnsi="Times New Roman"/>
          <w:color w:val="000000"/>
          <w:sz w:val="24"/>
        </w:rPr>
        <w:t xml:space="preserve"> </w:t>
      </w:r>
    </w:p>
    <w:p>
      <w:pPr>
        <w:pStyle w:val="TextBody"/>
        <w:pBdr>
          <w:bottom w:val="single" w:sz="8" w:space="6" w:color="000000"/>
        </w:pBdr>
        <w:bidi w:val="0"/>
        <w:jc w:val="center"/>
        <w:rPr/>
      </w:pPr>
      <w:r>
        <w:rPr/>
        <w:t> </w:t>
      </w:r>
    </w:p>
    <w:p>
      <w:pPr>
        <w:pStyle w:val="TextBody"/>
        <w:bidi w:val="0"/>
        <w:spacing w:before="120" w:after="283"/>
        <w:jc w:val="center"/>
        <w:rPr>
          <w:rFonts w:ascii="Times New Roman" w:hAnsi="Times New Roman"/>
          <w:sz w:val="36"/>
        </w:rPr>
      </w:pPr>
      <w:r>
        <w:rPr>
          <w:rFonts w:ascii="Times New Roman" w:hAnsi="Times New Roman"/>
          <w:b/>
          <w:color w:val="000000"/>
          <w:sz w:val="36"/>
        </w:rPr>
        <w:t>FORM 8-K</w:t>
      </w:r>
      <w:r>
        <w:rPr>
          <w:rFonts w:ascii="Times New Roman" w:hAnsi="Times New Roman"/>
          <w:color w:val="000000"/>
          <w:sz w:val="36"/>
        </w:rPr>
        <w:t xml:space="preserve"> </w:t>
      </w:r>
    </w:p>
    <w:p>
      <w:pPr>
        <w:pStyle w:val="TextBody"/>
        <w:bidi w:val="0"/>
        <w:spacing w:before="120" w:after="283"/>
        <w:jc w:val="center"/>
        <w:rPr>
          <w:rFonts w:ascii="Times New Roman" w:hAnsi="Times New Roman"/>
          <w:sz w:val="24"/>
        </w:rPr>
      </w:pPr>
      <w:r>
        <w:rPr>
          <w:rFonts w:ascii="Times New Roman" w:hAnsi="Times New Roman"/>
          <w:b/>
          <w:color w:val="000000"/>
          <w:sz w:val="24"/>
        </w:rPr>
        <w:t>CURRENT REPORT</w:t>
      </w:r>
      <w:r>
        <w:rPr>
          <w:rFonts w:ascii="Times New Roman" w:hAnsi="Times New Roman"/>
          <w:color w:val="000000"/>
          <w:sz w:val="24"/>
        </w:rPr>
        <w:t xml:space="preserve"> </w:t>
      </w:r>
    </w:p>
    <w:p>
      <w:pPr>
        <w:pStyle w:val="TextBody"/>
        <w:bidi w:val="0"/>
        <w:jc w:val="center"/>
        <w:rPr>
          <w:rFonts w:ascii="Times New Roman" w:hAnsi="Times New Roman"/>
          <w:sz w:val="24"/>
        </w:rPr>
      </w:pPr>
      <w:r>
        <w:rPr>
          <w:rFonts w:ascii="Times New Roman" w:hAnsi="Times New Roman"/>
          <w:b/>
          <w:color w:val="000000"/>
          <w:sz w:val="24"/>
        </w:rPr>
        <w:t>Pursuant to Section 13 or 15(d)</w:t>
      </w:r>
      <w:r>
        <w:rPr>
          <w:rFonts w:ascii="Times New Roman" w:hAnsi="Times New Roman"/>
          <w:color w:val="000000"/>
          <w:sz w:val="24"/>
        </w:rPr>
        <w:t xml:space="preserve"> </w:t>
      </w:r>
    </w:p>
    <w:p>
      <w:pPr>
        <w:pStyle w:val="TextBody"/>
        <w:bidi w:val="0"/>
        <w:jc w:val="center"/>
        <w:rPr>
          <w:rFonts w:ascii="Times New Roman" w:hAnsi="Times New Roman"/>
          <w:sz w:val="24"/>
        </w:rPr>
      </w:pPr>
      <w:r>
        <w:rPr>
          <w:rFonts w:ascii="Times New Roman" w:hAnsi="Times New Roman"/>
          <w:b/>
          <w:color w:val="000000"/>
          <w:sz w:val="24"/>
        </w:rPr>
        <w:t>of the Securities Exchange Act of 1934</w:t>
      </w:r>
      <w:r>
        <w:rPr>
          <w:rFonts w:ascii="Times New Roman" w:hAnsi="Times New Roman"/>
          <w:color w:val="000000"/>
          <w:sz w:val="24"/>
        </w:rPr>
        <w:t xml:space="preserve"> </w:t>
      </w:r>
    </w:p>
    <w:p>
      <w:pPr>
        <w:pStyle w:val="TextBody"/>
        <w:bidi w:val="0"/>
        <w:spacing w:before="120" w:after="283"/>
        <w:jc w:val="center"/>
        <w:rPr>
          <w:rFonts w:ascii="Times New Roman" w:hAnsi="Times New Roman"/>
          <w:sz w:val="24"/>
        </w:rPr>
      </w:pPr>
      <w:r>
        <w:rPr>
          <w:rFonts w:ascii="Times New Roman" w:hAnsi="Times New Roman"/>
          <w:b/>
          <w:color w:val="000000"/>
          <w:sz w:val="24"/>
        </w:rPr>
        <w:t>Date of Report (Date of earliest event reported): September 8, 2026</w:t>
      </w:r>
      <w:r>
        <w:rPr>
          <w:rFonts w:ascii="Times New Roman" w:hAnsi="Times New Roman"/>
          <w:color w:val="000000"/>
          <w:sz w:val="24"/>
        </w:rPr>
        <w:t xml:space="preserve"> </w:t>
      </w:r>
    </w:p>
    <w:p>
      <w:pPr>
        <w:pStyle w:val="TextBody"/>
        <w:bidi w:val="0"/>
        <w:spacing w:before="120" w:after="283"/>
        <w:jc w:val="center"/>
        <w:rPr>
          <w:rFonts w:ascii="Times New Roman" w:hAnsi="Times New Roman"/>
          <w:sz w:val="48"/>
        </w:rPr>
      </w:pPr>
      <w:r>
        <w:rPr>
          <w:rFonts w:ascii="Times New Roman" w:hAnsi="Times New Roman"/>
          <w:b/>
          <w:color w:val="000000"/>
          <w:sz w:val="48"/>
        </w:rPr>
        <w:t>APNIMED, INC.</w:t>
      </w:r>
      <w:r>
        <w:rPr>
          <w:rFonts w:ascii="Times New Roman" w:hAnsi="Times New Roman"/>
          <w:color w:val="000000"/>
          <w:sz w:val="48"/>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5816" w:type="dxa"/>
        <w:jc w:val="left"/>
        <w:tblInd w:w="0" w:type="dxa"/>
        <w:tblLayout w:type="fixed"/>
        <w:tblCellMar>
          <w:top w:w="28" w:type="dxa"/>
          <w:left w:w="28" w:type="dxa"/>
          <w:bottom w:w="28" w:type="dxa"/>
          <w:right w:w="28" w:type="dxa"/>
        </w:tblCellMar>
      </w:tblPr>
      <w:tblGrid>
        <w:gridCol w:w="2071"/>
        <w:gridCol w:w="109"/>
        <w:gridCol w:w="2041"/>
        <w:gridCol w:w="109"/>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001-43422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82-1910611</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Apnimed, Inc.</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 xml:space="preserve">39 John F. Kennedy Street, 4th Floor </w:t>
      </w:r>
    </w:p>
    <w:p>
      <w:pPr>
        <w:pStyle w:val="TextBody"/>
        <w:bidi w:val="0"/>
        <w:jc w:val="center"/>
        <w:rPr>
          <w:rFonts w:ascii="Times New Roman" w:hAnsi="Times New Roman"/>
          <w:sz w:val="18"/>
        </w:rPr>
      </w:pPr>
      <w:r>
        <w:rPr>
          <w:rFonts w:ascii="Times New Roman" w:hAnsi="Times New Roman"/>
          <w:b/>
          <w:color w:val="000000"/>
          <w:sz w:val="18"/>
        </w:rPr>
        <w:t>Cambridge, MA</w:t>
      </w:r>
      <w:r>
        <w:rPr>
          <w:rFonts w:ascii="Times New Roman" w:hAnsi="Times New Roman"/>
          <w:color w:val="000000"/>
          <w:sz w:val="18"/>
        </w:rPr>
        <w:t xml:space="preserve"> </w:t>
      </w:r>
      <w:r>
        <w:rPr>
          <w:rFonts w:ascii="Times New Roman" w:hAnsi="Times New Roman"/>
          <w:b/>
          <w:color w:val="000000"/>
          <w:sz w:val="18"/>
        </w:rPr>
        <w:t>02138</w:t>
      </w:r>
    </w:p>
    <w:p>
      <w:pPr>
        <w:pStyle w:val="TextBody"/>
        <w:bidi w:val="0"/>
        <w:jc w:val="center"/>
        <w:rPr>
          <w:rFonts w:ascii="Times New Roman" w:hAnsi="Times New Roman"/>
          <w:sz w:val="16"/>
        </w:rPr>
      </w:pPr>
      <w:r>
        <w:rPr>
          <w:rFonts w:ascii="Times New Roman" w:hAnsi="Times New Roman"/>
          <w:b/>
          <w:color w:val="000000"/>
          <w:sz w:val="16"/>
        </w:rPr>
        <w:t>(Address of principal executive offices, including zip code)</w:t>
      </w:r>
      <w:r>
        <w:rPr>
          <w:rFonts w:ascii="Times New Roman" w:hAnsi="Times New Roman"/>
          <w:color w:val="000000"/>
          <w:sz w:val="16"/>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(617) 500-8880</w:t>
      </w:r>
    </w:p>
    <w:p>
      <w:pPr>
        <w:pStyle w:val="TextBody"/>
        <w:bidi w:val="0"/>
        <w:jc w:val="center"/>
        <w:rPr>
          <w:rFonts w:ascii="Times New Roman" w:hAnsi="Times New Roman"/>
          <w:sz w:val="16"/>
        </w:rPr>
      </w:pPr>
      <w:r>
        <w:rPr>
          <w:rFonts w:ascii="Times New Roman" w:hAnsi="Times New Roman"/>
          <w:b/>
          <w:color w:val="000000"/>
          <w:sz w:val="16"/>
        </w:rPr>
        <w:t>(Registrant’s telephone number, including area code)</w:t>
      </w:r>
      <w:r>
        <w:rPr>
          <w:rFonts w:ascii="Times New Roman" w:hAnsi="Times New Roman"/>
          <w:color w:val="000000"/>
          <w:sz w:val="16"/>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16"/>
        </w:rPr>
      </w:pPr>
      <w:r>
        <w:rPr>
          <w:rFonts w:ascii="Times New Roman" w:hAnsi="Times New Roman"/>
          <w:b/>
          <w:color w:val="000000"/>
          <w:sz w:val="16"/>
        </w:rPr>
        <w:t>(Former Name or Former Address, if Changed Since Last Report)</w:t>
      </w:r>
      <w:r>
        <w:rPr>
          <w:rFonts w:ascii="Times New Roman" w:hAnsi="Times New Roman"/>
          <w:color w:val="000000"/>
          <w:sz w:val="16"/>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HorizontalLine"/>
        <w:pBdr>
          <w:bottom w:val="double" w:sz="2" w:space="0" w:color="808080"/>
        </w:pBdr>
        <w:bidi w:val="0"/>
        <w:spacing w:before="0" w:after="283"/>
        <w:jc w:val="left"/>
        <w:rPr/>
      </w:pPr>
      <w:r>
        <w:rPr/>
      </w:r>
    </w:p>
    <w:tbl>
      <w:tblPr>
        <w:tblW w:w="9621" w:type="dxa"/>
        <w:jc w:val="left"/>
        <w:tblInd w:w="0" w:type="dxa"/>
        <w:tblLayout w:type="fixed"/>
        <w:tblCellMar>
          <w:top w:w="28" w:type="dxa"/>
          <w:left w:w="28" w:type="dxa"/>
          <w:bottom w:w="28" w:type="dxa"/>
          <w:right w:w="28" w:type="dxa"/>
        </w:tblCellMar>
      </w:tblPr>
      <w:tblGrid>
        <w:gridCol w:w="331"/>
        <w:gridCol w:w="109"/>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Securities registered pursuant to Section 12(b) of the Act:</w:t>
      </w:r>
      <w:r>
        <w:rPr>
          <w:rFonts w:ascii="Times New Roman" w:hAnsi="Times New Roman"/>
          <w:color w:val="000000"/>
          <w:sz w:val="20"/>
        </w:rPr>
        <w:t xml:space="preserve"> </w:t>
      </w:r>
    </w:p>
    <w:tbl>
      <w:tblPr>
        <w:tblW w:w="7646" w:type="dxa"/>
        <w:jc w:val="left"/>
        <w:tblInd w:w="0" w:type="dxa"/>
        <w:tblLayout w:type="fixed"/>
        <w:tblCellMar>
          <w:top w:w="28" w:type="dxa"/>
          <w:left w:w="28" w:type="dxa"/>
          <w:bottom w:w="28" w:type="dxa"/>
          <w:right w:w="28" w:type="dxa"/>
        </w:tblCellMar>
      </w:tblPr>
      <w:tblGrid>
        <w:gridCol w:w="3976"/>
        <w:gridCol w:w="109"/>
        <w:gridCol w:w="826"/>
        <w:gridCol w:w="109"/>
        <w:gridCol w:w="2626"/>
      </w:tblGrid>
      <w:tr>
        <w:trPr/>
        <w:tc>
          <w:tcPr>
            <w:tcW w:w="3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397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Title of each 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Trade</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Symbol(s)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2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on which registered</w:t>
            </w:r>
          </w:p>
        </w:tc>
      </w:tr>
      <w:tr>
        <w:trPr/>
        <w:tc>
          <w:tcPr>
            <w:tcW w:w="39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$0.00001 par value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APMD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Nasdaq</w:t>
            </w:r>
            <w:r>
              <w:rPr>
                <w:rFonts w:ascii="Times New Roman" w:hAnsi="Times New Roman"/>
                <w:color w:val="000000"/>
                <w:sz w:val="20"/>
              </w:rPr>
              <w:t> </w:t>
            </w:r>
            <w:r>
              <w:rPr>
                <w:rFonts w:ascii="Times New Roman" w:hAnsi="Times New Roman"/>
                <w:b/>
                <w:color w:val="000000"/>
                <w:sz w:val="20"/>
              </w:rPr>
              <w:t>Global Select Market</w:t>
            </w:r>
          </w:p>
        </w:tc>
      </w:tr>
    </w:tbl>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Emerging growth company ☒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pBdr>
          <w:bottom w:val="single" w:sz="6" w:space="6"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967" w:type="dxa"/>
        <w:jc w:val="left"/>
        <w:tblInd w:w="0" w:type="dxa"/>
        <w:tblLayout w:type="fixed"/>
        <w:tblCellMar>
          <w:top w:w="28" w:type="dxa"/>
          <w:left w:w="28" w:type="dxa"/>
          <w:bottom w:w="28" w:type="dxa"/>
          <w:right w:w="28" w:type="dxa"/>
        </w:tblCellMar>
      </w:tblPr>
      <w:tblGrid>
        <w:gridCol w:w="916"/>
        <w:gridCol w:w="4051"/>
      </w:tblGrid>
      <w:tr>
        <w:trPr/>
        <w:tc>
          <w:tcPr>
            <w:tcW w:w="916" w:type="dxa"/>
            <w:tcBorders/>
            <w:vAlign w:val="center"/>
          </w:tcPr>
          <w:p>
            <w:pPr>
              <w:pStyle w:val="TableContents"/>
              <w:bidi w:val="0"/>
              <w:spacing w:before="0" w:after="283"/>
              <w:jc w:val="left"/>
              <w:rPr>
                <w:sz w:val="4"/>
                <w:szCs w:val="4"/>
              </w:rPr>
            </w:pPr>
            <w:r>
              <w:rPr>
                <w:sz w:val="4"/>
                <w:szCs w:val="4"/>
              </w:rPr>
            </w:r>
          </w:p>
        </w:tc>
        <w:tc>
          <w:tcPr>
            <w:tcW w:w="4051"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2.02</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Results of Operations and Financial Condition</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September 8, 2026, Apnimed, Inc. issued a press release announcing its financial results for the quarterly period ended June 30, 2026. The full text of the press release is being furnished as Exhibit 99.1 to this Current Report on Form 8-K.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in this Item 2.02 of this Form 8-K and the Exhibit 99.1 attached hereto, shall not be deemed “filed” for purposes of Section 18 of the Securities Exchange Act of 1934, as amended (the “Exchange Act”), or otherwise subject to the liabilities of that Section, or incorporated by reference in any filing under the Securities Act of 1933, as amended, or the Exchange Act, except as shall be expressly set forth by specific reference in such a filing.</w:t>
      </w:r>
    </w:p>
    <w:p>
      <w:pPr>
        <w:pStyle w:val="TextBody"/>
        <w:bidi w:val="0"/>
        <w:jc w:val="left"/>
        <w:rPr/>
      </w:pPr>
      <w:r>
        <w:rPr/>
        <w:t> </w:t>
      </w:r>
    </w:p>
    <w:tbl>
      <w:tblPr>
        <w:tblW w:w="3992" w:type="dxa"/>
        <w:jc w:val="left"/>
        <w:tblInd w:w="0" w:type="dxa"/>
        <w:tblLayout w:type="fixed"/>
        <w:tblCellMar>
          <w:top w:w="28" w:type="dxa"/>
          <w:left w:w="28" w:type="dxa"/>
          <w:bottom w:w="28" w:type="dxa"/>
          <w:right w:w="28" w:type="dxa"/>
        </w:tblCellMar>
      </w:tblPr>
      <w:tblGrid>
        <w:gridCol w:w="916"/>
        <w:gridCol w:w="3076"/>
      </w:tblGrid>
      <w:tr>
        <w:trPr/>
        <w:tc>
          <w:tcPr>
            <w:tcW w:w="91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9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30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(d) Exhibits</w:t>
      </w:r>
    </w:p>
    <w:p>
      <w:pPr>
        <w:pStyle w:val="TextBody"/>
        <w:bidi w:val="0"/>
        <w:jc w:val="left"/>
        <w:rPr/>
      </w:pPr>
      <w:r>
        <w:rPr>
          <w:rFonts w:ascii="Times New Roman" w:hAnsi="Times New Roman"/>
          <w:color w:val="000000"/>
          <w:sz w:val="20"/>
        </w:rPr>
        <w:t xml:space="preserve">99.1 </w:t>
      </w:r>
      <w:hyperlink w:anchor="apmd-ex99_1.htm">
        <w:r>
          <w:rPr>
            <w:rStyle w:val="InternetLink"/>
            <w:rFonts w:ascii="Times New Roman" w:hAnsi="Times New Roman"/>
            <w:color w:val="0000FF"/>
            <w:sz w:val="20"/>
            <w:u w:val="single"/>
          </w:rPr>
          <w:t>Press release of the Company, dated September 8, 2026</w:t>
        </w:r>
      </w:hyperlink>
    </w:p>
    <w:p>
      <w:pPr>
        <w:pStyle w:val="TextBody"/>
        <w:bidi w:val="0"/>
        <w:jc w:val="left"/>
        <w:rPr>
          <w:rFonts w:ascii="Times New Roman" w:hAnsi="Times New Roman"/>
          <w:color w:val="000000"/>
          <w:sz w:val="20"/>
        </w:rPr>
      </w:pPr>
      <w:r>
        <w:rPr>
          <w:rFonts w:ascii="Times New Roman" w:hAnsi="Times New Roman"/>
          <w:color w:val="000000"/>
          <w:sz w:val="20"/>
        </w:rPr>
        <w:t>104 Cover Page Interactive Data File (embedded within the Inline XBRL document)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SIGNATURE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tbl>
      <w:tblPr>
        <w:tblW w:w="4702" w:type="dxa"/>
        <w:jc w:val="left"/>
        <w:tblInd w:w="0" w:type="dxa"/>
        <w:tblLayout w:type="fixed"/>
        <w:tblCellMar>
          <w:top w:w="28" w:type="dxa"/>
          <w:left w:w="28" w:type="dxa"/>
          <w:bottom w:w="28" w:type="dxa"/>
          <w:right w:w="28" w:type="dxa"/>
        </w:tblCellMar>
      </w:tblPr>
      <w:tblGrid>
        <w:gridCol w:w="2116"/>
        <w:gridCol w:w="109"/>
        <w:gridCol w:w="203"/>
        <w:gridCol w:w="203"/>
        <w:gridCol w:w="2071"/>
      </w:tblGrid>
      <w:tr>
        <w:trPr/>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Apnimed, Inc.</w:t>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8,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6" w:space="0" w:color="000000"/>
            </w:tcBorders>
            <w:tcMar>
              <w:top w:w="0" w:type="dxa"/>
              <w:left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/s/ Kevin R. Lind</w:t>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Kevin R. Lind</w:t>
            </w:r>
          </w:p>
        </w:tc>
      </w:tr>
      <w:tr>
        <w:trPr/>
        <w:tc>
          <w:tcPr>
            <w:tcW w:w="2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 w:name="apmd-ex99_1.htm"/>
      <w:bookmarkStart w:id="3" w:name="ksapmdex99_1"/>
      <w:bookmarkEnd w:id="2"/>
      <w:bookmarkEnd w:id="3"/>
      <w:r>
        <w:rPr/>
        <w:t> </w:t>
      </w:r>
      <w:r>
        <w:br w:type="page"/>
      </w:r>
    </w:p>
    <w:p>
      <w:pPr>
        <w:pStyle w:val="TextBody"/>
        <w:bidi w:val="0"/>
        <w:jc w:val="right"/>
        <w:rPr>
          <w:rFonts w:ascii="Aptos;sans-serif" w:hAnsi="Aptos;sans-serif"/>
          <w:b/>
          <w:color w:val="000000"/>
          <w:sz w:val="20"/>
        </w:rPr>
      </w:pPr>
      <w:r>
        <w:rPr>
          <w:rFonts w:ascii="Aptos;sans-serif" w:hAnsi="Aptos;sans-serif"/>
          <w:b/>
          <w:color w:val="000000"/>
          <w:sz w:val="20"/>
        </w:rPr>
        <w:t>EX-99.1</w:t>
      </w:r>
    </w:p>
    <w:p>
      <w:pPr>
        <w:pStyle w:val="TextBody"/>
        <w:bidi w:val="0"/>
        <w:jc w:val="left"/>
        <w:rPr/>
      </w:pPr>
      <w:r>
        <w:rPr/>
        <w:t> </w:t>
      </w:r>
    </w:p>
    <w:p>
      <w:pPr>
        <w:pStyle w:val="TextBody"/>
        <w:bidi w:val="0"/>
        <w:jc w:val="left"/>
        <w:rPr>
          <w:rFonts w:ascii="Aptos;sans-serif" w:hAnsi="Aptos;sans-serif"/>
          <w:sz w:val="22"/>
        </w:rPr>
      </w:pPr>
      <w:r>
        <w:rPr>
          <w:rFonts w:ascii="Aptos;sans-serif" w:hAnsi="Aptos;sans-serif"/>
          <w:b/>
          <w:color w:val="000000"/>
          <w:sz w:val="22"/>
        </w:rPr>
        <w:t>Apnimed Reports Second Quarter 2026 Financial Results and Provides Corporate Update</w:t>
      </w:r>
      <w:r>
        <w:rPr>
          <w:rFonts w:ascii="Aptos;sans-serif" w:hAnsi="Aptos;sans-serif"/>
          <w:color w:val="000000"/>
          <w:sz w:val="22"/>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sz w:val="22"/>
        </w:rPr>
      </w:pPr>
      <w:r>
        <w:rPr>
          <w:rFonts w:ascii="Aptos;sans-serif" w:hAnsi="Aptos;sans-serif"/>
          <w:i/>
          <w:color w:val="000000"/>
          <w:sz w:val="22"/>
        </w:rPr>
        <w:t>U.S. Food and Drug Administration (“FDA”)</w:t>
      </w:r>
      <w:r>
        <w:rPr>
          <w:color w:val="000000"/>
          <w:sz w:val="22"/>
        </w:rPr>
        <w:t xml:space="preserve"> </w:t>
      </w:r>
      <w:r>
        <w:rPr>
          <w:rFonts w:ascii="Aptos;sans-serif" w:hAnsi="Aptos;sans-serif"/>
          <w:i/>
          <w:color w:val="000000"/>
          <w:sz w:val="22"/>
        </w:rPr>
        <w:t>Accepted the NDA for AD109, with a proposed proprietary name Oxnimbi</w:t>
      </w:r>
      <w:r>
        <w:rPr>
          <w:rFonts w:ascii="Aptos;sans-serif" w:hAnsi="Aptos;sans-serif"/>
          <w:color w:val="000000"/>
          <w:sz w:val="22"/>
        </w:rPr>
        <w:t>,</w:t>
      </w:r>
      <w:r>
        <w:rPr>
          <w:color w:val="000000"/>
          <w:sz w:val="22"/>
        </w:rPr>
        <w:t xml:space="preserve"> </w:t>
      </w:r>
      <w:r>
        <w:rPr>
          <w:rFonts w:ascii="Aptos;sans-serif" w:hAnsi="Aptos;sans-serif"/>
          <w:i/>
          <w:color w:val="000000"/>
          <w:sz w:val="22"/>
        </w:rPr>
        <w:t>and assigned a PDUFA target action date of February 28,</w:t>
      </w:r>
      <w:r>
        <w:rPr>
          <w:color w:val="000000"/>
          <w:sz w:val="22"/>
        </w:rPr>
        <w:t> </w:t>
      </w:r>
      <w:r>
        <w:rPr>
          <w:rFonts w:ascii="Aptos;sans-serif" w:hAnsi="Aptos;sans-serif"/>
          <w:i/>
          <w:color w:val="000000"/>
          <w:sz w:val="22"/>
        </w:rPr>
        <w:t>2027</w:t>
      </w:r>
      <w:r>
        <w:rPr>
          <w:color w:val="000000"/>
          <w:sz w:val="22"/>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sz w:val="22"/>
        </w:rPr>
      </w:pPr>
      <w:r>
        <w:rPr>
          <w:rFonts w:ascii="Aptos;sans-serif" w:hAnsi="Aptos;sans-serif"/>
          <w:i/>
          <w:color w:val="000000"/>
          <w:sz w:val="22"/>
        </w:rPr>
        <w:t>If approved, Oxnimbi has the potential to become the first oral pharmacologic therapy designed to address the neuromuscular root cause of upper airway collapse for the millions of people living with OSA</w:t>
      </w:r>
      <w:r>
        <w:rPr>
          <w:rFonts w:ascii="Aptos;sans-serif" w:hAnsi="Aptos;sans-serif"/>
          <w:color w:val="000000"/>
          <w:sz w:val="22"/>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i/>
          <w:color w:val="000000"/>
          <w:sz w:val="22"/>
        </w:rPr>
      </w:pPr>
      <w:r>
        <w:rPr>
          <w:rFonts w:ascii="Aptos;sans-serif" w:hAnsi="Aptos;sans-serif"/>
          <w:i/>
          <w:color w:val="000000"/>
          <w:sz w:val="22"/>
        </w:rPr>
        <w:t xml:space="preserve">Strengthened the Company’s leadership team with several key appointments </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sz w:val="22"/>
        </w:rPr>
      </w:pPr>
      <w:r>
        <w:rPr>
          <w:rFonts w:ascii="Aptos;sans-serif" w:hAnsi="Aptos;sans-serif"/>
          <w:i/>
          <w:color w:val="000000"/>
          <w:sz w:val="22"/>
        </w:rPr>
        <w:t>Completed its upsized initial public offering for gross proceeds of $220.8 million and its common stock began trading on the Nasdaq Global Select Market</w:t>
      </w:r>
      <w:r>
        <w:rPr>
          <w:rFonts w:ascii="Aptos;sans-serif" w:hAnsi="Aptos;sans-serif"/>
          <w:color w:val="000000"/>
          <w:sz w:val="22"/>
        </w:rPr>
        <w:t xml:space="preserve"> </w:t>
      </w:r>
    </w:p>
    <w:p>
      <w:pPr>
        <w:pStyle w:val="TextBody"/>
        <w:bidi w:val="0"/>
        <w:jc w:val="left"/>
        <w:rPr>
          <w:rFonts w:ascii="Times New Roman" w:hAnsi="Times New Roman"/>
          <w:sz w:val="22"/>
        </w:rPr>
      </w:pPr>
      <w:r>
        <w:rPr>
          <w:rFonts w:ascii="Aptos;sans-serif" w:hAnsi="Aptos;sans-serif"/>
          <w:b/>
          <w:color w:val="000000"/>
          <w:sz w:val="22"/>
        </w:rPr>
        <w:t>CAMBRIDGE, Mass., September 8, 2026</w:t>
      </w:r>
      <w:r>
        <w:rPr>
          <w:rFonts w:ascii="Times New Roman" w:hAnsi="Times New Roman"/>
          <w:color w:val="000000"/>
          <w:sz w:val="22"/>
        </w:rPr>
        <w:t xml:space="preserve"> – </w:t>
      </w:r>
      <w:r>
        <w:rPr>
          <w:rFonts w:ascii="Aptos;sans-serif" w:hAnsi="Aptos;sans-serif"/>
          <w:color w:val="000000"/>
          <w:sz w:val="22"/>
        </w:rPr>
        <w:t>Apnimed, Inc. (Nasdaq: APMD) (“Apnimed”), a late stage clinical pharmaceutical company dedicated to the discovery, development and commercialization of novel oral therapies that address the neurobiology of sleep-related breathing diseases, today announced its financial results for the second quarter ended June 30, 2026, and provided a corporate update.</w:t>
      </w:r>
      <w:r>
        <w:rPr>
          <w:rFonts w:ascii="Times New Roman" w:hAnsi="Times New Roman"/>
          <w:color w:val="000000"/>
          <w:sz w:val="22"/>
        </w:rPr>
        <w:t xml:space="preserve"> </w:t>
      </w:r>
    </w:p>
    <w:p>
      <w:pPr>
        <w:pStyle w:val="TextBody"/>
        <w:bidi w:val="0"/>
        <w:jc w:val="left"/>
        <w:rPr/>
      </w:pPr>
      <w:r>
        <w:rPr>
          <w:color w:val="000000"/>
        </w:rPr>
        <w:t>“</w:t>
      </w:r>
      <w:r>
        <w:rPr>
          <w:rFonts w:ascii="Aptos;sans-serif" w:hAnsi="Aptos;sans-serif"/>
          <w:color w:val="000000"/>
          <w:sz w:val="22"/>
        </w:rPr>
        <w:t xml:space="preserve">This was a highly productive quarter for Apnimed as we continued to execute against our strategy, highlighted by the FDA’s acceptance of our NDA for AD109 (proposed proprietary name Oxnimbi), with a PDUFA target action date of February 28, 2027,” said Kevin Lind, Chief Executive Officer of Apnimed. “Over the past several months, we have significantly strengthened our financial position, including through the successful completion of our IPO, providing us with additional resources as we prepare for the potential commercialization of Oxnimbi, pending approval. With this strengthened financial position, we are advancing our commercial readiness activities and building the capabilities needed to support a potential U.S. launch. With an estimated 80 million people in the U.S. living with OSA, many of whom remain untreated, we believe Oxnimbi has the potential to address the scale of unmet need in OSA and, if approved, represents a significant commercial opportunity for Apnimed.” </w:t>
      </w:r>
    </w:p>
    <w:p>
      <w:pPr>
        <w:pStyle w:val="TextBody"/>
        <w:bidi w:val="0"/>
        <w:jc w:val="left"/>
        <w:rPr>
          <w:rFonts w:ascii="Aptos;sans-serif" w:hAnsi="Aptos;sans-serif"/>
          <w:sz w:val="22"/>
        </w:rPr>
      </w:pPr>
      <w:r>
        <w:rPr>
          <w:rFonts w:ascii="Aptos;sans-serif" w:hAnsi="Aptos;sans-serif"/>
          <w:b/>
          <w:color w:val="000000"/>
          <w:sz w:val="22"/>
        </w:rPr>
        <w:t>Recent Highlights and Upcoming Milestones</w:t>
      </w:r>
      <w:r>
        <w:rPr>
          <w:rFonts w:ascii="Aptos;sans-serif" w:hAnsi="Aptos;sans-serif"/>
          <w:color w:val="000000"/>
          <w:sz w:val="22"/>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sz w:val="22"/>
        </w:rPr>
      </w:pPr>
      <w:r>
        <w:rPr>
          <w:rFonts w:ascii="Aptos;sans-serif" w:hAnsi="Aptos;sans-serif"/>
          <w:color w:val="000000"/>
          <w:sz w:val="22"/>
        </w:rPr>
        <w:t>Announced the FDA accepted for review the New Drug Application (“NDA”) for AD109 (proposed proprietary name Oxnimbi) for the treatment of adults with obstructive sleep apnea (“OSA”). The FDA has assigned a Prescription Drug User Fee Act (“PDUFA”) target action date of February 28,</w:t>
      </w:r>
      <w:r>
        <w:rPr>
          <w:color w:val="000000"/>
          <w:sz w:val="22"/>
        </w:rPr>
        <w:t> </w:t>
      </w:r>
      <w:r>
        <w:rPr>
          <w:rFonts w:ascii="Aptos;sans-serif" w:hAnsi="Aptos;sans-serif"/>
          <w:color w:val="000000"/>
          <w:sz w:val="22"/>
        </w:rPr>
        <w:t xml:space="preserve">2027. </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 xml:space="preserve">Presented a broad body of data and research at both ATS 2026 and SLEEP 2026, including pooled analyses of the SynAIRgy and LunAIRo Phase 3 trials of Oxnimbi, reflecting one of the largest clinical development programs conducted for an OSA pharmacotherapy, as well as research highlighting the significant unmet need in OSA. </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 xml:space="preserve">Simultaneously published two peer-reviewed articles on Oxnimbi, including results from the Phase 3 SynAIRgy trial in the American Journal of Respiratory and Critical Care Medicine and a companion mechanistic review article in the American Journal of Respiratory Cell and Molecular Biology. </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 xml:space="preserve">Strengthened the Company’s leadership team with the appointments of Kevin Lind as Chief Executive Officer, Michael Kelly as Chief Financial Officer and Steven Spector as Chief Legal Officer and Head of Corporate Affairs as part of a planned leadership transition. </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 xml:space="preserve">Completed two financing transactions to support commercial readiness and the potential U.S. launch of Oxnimbi, if approved by the FDA, including an upsized initial public offering for gross proceeds of $220.8 million and a senior secured credit facility for up to $150 million with funds managed by HealthCare Royalty Partners.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 xml:space="preserve">Completed the strategic monetization of the Company’s interest in Shionogi-Apnimed Sleep Science, generating $100 million in upfront proceeds, with the potential for additional milestone and royalty payments, while allowing the Company to further focus its resources on Oxnimbi. </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 xml:space="preserve">Apnimed’s common stock began trading on the Nasdaq Global Select Market under the ticker symbol “APMD” on July 31, 2026. </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 xml:space="preserve">Apnimed was included in a preliminary list of additions to the Russell 2000® Index, to be effective on September 21, 2026. </w:t>
      </w:r>
    </w:p>
    <w:p>
      <w:pPr>
        <w:pStyle w:val="TextBody"/>
        <w:bidi w:val="0"/>
        <w:jc w:val="left"/>
        <w:rPr>
          <w:rFonts w:ascii="Aptos;sans-serif" w:hAnsi="Aptos;sans-serif"/>
          <w:sz w:val="22"/>
        </w:rPr>
      </w:pPr>
      <w:r>
        <w:rPr>
          <w:rFonts w:ascii="Aptos;sans-serif" w:hAnsi="Aptos;sans-serif"/>
          <w:b/>
          <w:color w:val="000000"/>
          <w:sz w:val="22"/>
        </w:rPr>
        <w:t>Upcoming Investor Events</w:t>
      </w:r>
      <w:r>
        <w:rPr>
          <w:rFonts w:ascii="Aptos;sans-serif" w:hAnsi="Aptos;sans-serif"/>
          <w:color w:val="000000"/>
          <w:sz w:val="22"/>
        </w:rPr>
        <w:t xml:space="preserve"> </w:t>
      </w:r>
    </w:p>
    <w:p>
      <w:pPr>
        <w:pStyle w:val="TextBody"/>
        <w:bidi w:val="0"/>
        <w:jc w:val="left"/>
        <w:rPr>
          <w:rFonts w:ascii="Aptos;sans-serif" w:hAnsi="Aptos;sans-serif"/>
          <w:color w:val="000000"/>
          <w:sz w:val="22"/>
        </w:rPr>
      </w:pPr>
      <w:r>
        <w:rPr>
          <w:rFonts w:ascii="Aptos;sans-serif" w:hAnsi="Aptos;sans-serif"/>
          <w:color w:val="000000"/>
          <w:sz w:val="22"/>
        </w:rPr>
        <w:t xml:space="preserve">Cantor Global Healthcare Conference 2026, September 9-11, 2026, New York, NY </w:t>
      </w:r>
    </w:p>
    <w:p>
      <w:pPr>
        <w:pStyle w:val="TextBody"/>
        <w:bidi w:val="0"/>
        <w:spacing w:before="120" w:after="283"/>
        <w:jc w:val="left"/>
        <w:rPr>
          <w:color w:val="000000"/>
        </w:rPr>
      </w:pPr>
      <w:r>
        <w:rPr>
          <w:color w:val="000000"/>
        </w:rPr>
        <w:t>•</w:t>
      </w:r>
    </w:p>
    <w:p>
      <w:pPr>
        <w:pStyle w:val="TextBody"/>
        <w:bidi w:val="0"/>
        <w:spacing w:before="120" w:after="283"/>
        <w:jc w:val="left"/>
        <w:rPr>
          <w:rFonts w:ascii="Aptos;sans-serif" w:hAnsi="Aptos;sans-serif"/>
          <w:color w:val="000000"/>
          <w:sz w:val="22"/>
        </w:rPr>
      </w:pPr>
      <w:r>
        <w:rPr>
          <w:rFonts w:ascii="Aptos;sans-serif" w:hAnsi="Aptos;sans-serif"/>
          <w:color w:val="000000"/>
          <w:sz w:val="22"/>
        </w:rPr>
        <w:t xml:space="preserve">Apnimed fireside chat on Thursday, September 10, 2026. </w:t>
      </w:r>
    </w:p>
    <w:p>
      <w:pPr>
        <w:pStyle w:val="TextBody"/>
        <w:bidi w:val="0"/>
        <w:jc w:val="left"/>
        <w:rPr>
          <w:rFonts w:ascii="Aptos;sans-serif" w:hAnsi="Aptos;sans-serif"/>
          <w:sz w:val="22"/>
        </w:rPr>
      </w:pPr>
      <w:r>
        <w:rPr>
          <w:rFonts w:ascii="Aptos;sans-serif" w:hAnsi="Aptos;sans-serif"/>
          <w:b/>
          <w:color w:val="000000"/>
          <w:sz w:val="22"/>
        </w:rPr>
        <w:t>Second Quarter Financial Results</w:t>
      </w:r>
      <w:r>
        <w:rPr>
          <w:rFonts w:ascii="Aptos;sans-serif" w:hAnsi="Aptos;sans-serif"/>
          <w:color w:val="000000"/>
          <w:sz w:val="22"/>
        </w:rPr>
        <w:t xml:space="preserve"> </w:t>
      </w:r>
    </w:p>
    <w:p>
      <w:pPr>
        <w:pStyle w:val="TextBody"/>
        <w:bidi w:val="0"/>
        <w:jc w:val="left"/>
        <w:rPr>
          <w:rFonts w:ascii="Times New Roman" w:hAnsi="Times New Roman"/>
          <w:sz w:val="22"/>
        </w:rPr>
      </w:pPr>
      <w:r>
        <w:rPr>
          <w:rFonts w:ascii="Aptos;sans-serif" w:hAnsi="Aptos;sans-serif"/>
          <w:color w:val="000000"/>
          <w:sz w:val="22"/>
        </w:rPr>
        <w:t>Apnimed</w:t>
      </w:r>
      <w:r>
        <w:rPr>
          <w:rFonts w:ascii="Times New Roman" w:hAnsi="Times New Roman"/>
          <w:color w:val="000000"/>
          <w:sz w:val="22"/>
        </w:rPr>
        <w:t> </w:t>
      </w:r>
      <w:r>
        <w:rPr>
          <w:rFonts w:ascii="Aptos;sans-serif" w:hAnsi="Aptos;sans-serif"/>
          <w:color w:val="000000"/>
          <w:sz w:val="22"/>
        </w:rPr>
        <w:t>reported</w:t>
      </w:r>
      <w:r>
        <w:rPr>
          <w:rFonts w:ascii="Times New Roman" w:hAnsi="Times New Roman"/>
          <w:color w:val="000000"/>
          <w:sz w:val="22"/>
        </w:rPr>
        <w:t> </w:t>
      </w:r>
      <w:r>
        <w:rPr>
          <w:rFonts w:ascii="Aptos;sans-serif" w:hAnsi="Aptos;sans-serif"/>
          <w:color w:val="000000"/>
          <w:sz w:val="22"/>
        </w:rPr>
        <w:t>cash and cash</w:t>
      </w:r>
      <w:r>
        <w:rPr>
          <w:rFonts w:ascii="Times New Roman" w:hAnsi="Times New Roman"/>
          <w:color w:val="000000"/>
          <w:sz w:val="22"/>
        </w:rPr>
        <w:t> </w:t>
      </w:r>
      <w:r>
        <w:rPr>
          <w:rFonts w:ascii="Aptos;sans-serif" w:hAnsi="Aptos;sans-serif"/>
          <w:color w:val="000000"/>
          <w:sz w:val="22"/>
        </w:rPr>
        <w:t>equivalents</w:t>
      </w:r>
      <w:r>
        <w:rPr>
          <w:rFonts w:ascii="Times New Roman" w:hAnsi="Times New Roman"/>
          <w:color w:val="000000"/>
          <w:sz w:val="22"/>
        </w:rPr>
        <w:t> </w:t>
      </w:r>
      <w:r>
        <w:rPr>
          <w:rFonts w:ascii="Aptos;sans-serif" w:hAnsi="Aptos;sans-serif"/>
          <w:color w:val="000000"/>
          <w:sz w:val="22"/>
        </w:rPr>
        <w:t>of</w:t>
      </w:r>
      <w:r>
        <w:rPr>
          <w:rFonts w:ascii="Times New Roman" w:hAnsi="Times New Roman"/>
          <w:color w:val="000000"/>
          <w:sz w:val="22"/>
        </w:rPr>
        <w:t> </w:t>
      </w:r>
      <w:r>
        <w:rPr>
          <w:rFonts w:ascii="Aptos;sans-serif" w:hAnsi="Aptos;sans-serif"/>
          <w:color w:val="000000"/>
          <w:sz w:val="22"/>
        </w:rPr>
        <w:t>approximately $172.8</w:t>
      </w:r>
      <w:r>
        <w:rPr>
          <w:rFonts w:ascii="Times New Roman" w:hAnsi="Times New Roman"/>
          <w:color w:val="000000"/>
          <w:sz w:val="22"/>
        </w:rPr>
        <w:t> </w:t>
      </w:r>
      <w:r>
        <w:rPr>
          <w:rFonts w:ascii="Aptos;sans-serif" w:hAnsi="Aptos;sans-serif"/>
          <w:color w:val="000000"/>
          <w:sz w:val="22"/>
        </w:rPr>
        <w:t>million</w:t>
      </w:r>
      <w:r>
        <w:rPr>
          <w:rFonts w:ascii="Times New Roman" w:hAnsi="Times New Roman"/>
          <w:color w:val="000000"/>
          <w:sz w:val="22"/>
        </w:rPr>
        <w:t> </w:t>
      </w:r>
      <w:r>
        <w:rPr>
          <w:rFonts w:ascii="Aptos;sans-serif" w:hAnsi="Aptos;sans-serif"/>
          <w:color w:val="000000"/>
          <w:sz w:val="22"/>
        </w:rPr>
        <w:t>at June 30, 2026.</w:t>
      </w:r>
      <w:r>
        <w:rPr>
          <w:rFonts w:ascii="Times New Roman" w:hAnsi="Times New Roman"/>
          <w:color w:val="000000"/>
          <w:sz w:val="22"/>
        </w:rPr>
        <w:t> </w:t>
      </w:r>
      <w:r>
        <w:rPr>
          <w:rFonts w:ascii="Aptos;sans-serif" w:hAnsi="Aptos;sans-serif"/>
          <w:color w:val="000000"/>
          <w:sz w:val="22"/>
        </w:rPr>
        <w:t>Subsequently, the Company completed</w:t>
      </w:r>
      <w:r>
        <w:rPr>
          <w:rFonts w:ascii="Times New Roman" w:hAnsi="Times New Roman"/>
          <w:color w:val="000000"/>
          <w:sz w:val="22"/>
        </w:rPr>
        <w:t> </w:t>
      </w:r>
      <w:r>
        <w:rPr>
          <w:rFonts w:ascii="Aptos;sans-serif" w:hAnsi="Aptos;sans-serif"/>
          <w:color w:val="000000"/>
          <w:sz w:val="22"/>
        </w:rPr>
        <w:t>its upsized initial public offering of 13,800,000 shares of its common stock, including 1,800,000 shares issued pursuant to the full exercise of the underwriters’ overallotment option,</w:t>
      </w:r>
      <w:r>
        <w:rPr>
          <w:rFonts w:ascii="Times New Roman" w:hAnsi="Times New Roman"/>
          <w:color w:val="000000"/>
          <w:sz w:val="22"/>
        </w:rPr>
        <w:t> </w:t>
      </w:r>
      <w:r>
        <w:rPr>
          <w:rFonts w:ascii="Aptos;sans-serif" w:hAnsi="Aptos;sans-serif"/>
          <w:color w:val="000000"/>
          <w:sz w:val="22"/>
        </w:rPr>
        <w:t>at a price to the public of $16.00 per share</w:t>
      </w:r>
      <w:r>
        <w:rPr>
          <w:rFonts w:ascii="Times New Roman" w:hAnsi="Times New Roman"/>
          <w:color w:val="000000"/>
          <w:sz w:val="22"/>
        </w:rPr>
        <w:t> </w:t>
      </w:r>
      <w:r>
        <w:rPr>
          <w:rFonts w:ascii="Aptos;sans-serif" w:hAnsi="Aptos;sans-serif"/>
          <w:color w:val="000000"/>
          <w:sz w:val="22"/>
        </w:rPr>
        <w:t>for gross proceeds of $220.8</w:t>
      </w:r>
      <w:r>
        <w:rPr>
          <w:rFonts w:ascii="Times New Roman" w:hAnsi="Times New Roman"/>
          <w:color w:val="000000"/>
          <w:sz w:val="22"/>
        </w:rPr>
        <w:t> </w:t>
      </w:r>
      <w:r>
        <w:rPr>
          <w:rFonts w:ascii="Aptos;sans-serif" w:hAnsi="Aptos;sans-serif"/>
          <w:color w:val="000000"/>
          <w:sz w:val="22"/>
        </w:rPr>
        <w:t>million, less underwriting discounts and commissions.</w:t>
      </w:r>
      <w:r>
        <w:rPr>
          <w:rFonts w:ascii="Times New Roman" w:hAnsi="Times New Roman"/>
          <w:color w:val="000000"/>
          <w:sz w:val="22"/>
        </w:rPr>
        <w:t xml:space="preserve">   </w:t>
      </w:r>
    </w:p>
    <w:p>
      <w:pPr>
        <w:pStyle w:val="TextBody"/>
        <w:bidi w:val="0"/>
        <w:jc w:val="left"/>
        <w:rPr>
          <w:color w:val="000000"/>
        </w:rPr>
      </w:pPr>
      <w:r>
        <w:rPr>
          <w:color w:val="000000"/>
        </w:rPr>
        <w:t xml:space="preserve">  </w:t>
      </w:r>
    </w:p>
    <w:p>
      <w:pPr>
        <w:pStyle w:val="TextBody"/>
        <w:bidi w:val="0"/>
        <w:jc w:val="left"/>
        <w:rPr>
          <w:rFonts w:ascii="Times New Roman" w:hAnsi="Times New Roman"/>
          <w:sz w:val="22"/>
        </w:rPr>
      </w:pPr>
      <w:r>
        <w:rPr>
          <w:rFonts w:ascii="Aptos;sans-serif" w:hAnsi="Aptos;sans-serif"/>
          <w:color w:val="000000"/>
          <w:sz w:val="22"/>
        </w:rPr>
        <w:t>Research and development expenses were $9.9</w:t>
      </w:r>
      <w:r>
        <w:rPr>
          <w:rFonts w:ascii="Times New Roman" w:hAnsi="Times New Roman"/>
          <w:color w:val="000000"/>
          <w:sz w:val="22"/>
        </w:rPr>
        <w:t> </w:t>
      </w:r>
      <w:r>
        <w:rPr>
          <w:rFonts w:ascii="Aptos;sans-serif" w:hAnsi="Aptos;sans-serif"/>
          <w:color w:val="000000"/>
          <w:sz w:val="22"/>
        </w:rPr>
        <w:t>million for the three months ended June 30, 2026, a</w:t>
      </w:r>
      <w:r>
        <w:rPr>
          <w:rFonts w:ascii="Times New Roman" w:hAnsi="Times New Roman"/>
          <w:color w:val="000000"/>
          <w:sz w:val="22"/>
        </w:rPr>
        <w:t> </w:t>
      </w:r>
      <w:r>
        <w:rPr>
          <w:rFonts w:ascii="Aptos;sans-serif" w:hAnsi="Aptos;sans-serif"/>
          <w:color w:val="000000"/>
          <w:sz w:val="22"/>
        </w:rPr>
        <w:t>decrease</w:t>
      </w:r>
      <w:r>
        <w:rPr>
          <w:rFonts w:ascii="Times New Roman" w:hAnsi="Times New Roman"/>
          <w:color w:val="000000"/>
          <w:sz w:val="22"/>
        </w:rPr>
        <w:t> </w:t>
      </w:r>
      <w:r>
        <w:rPr>
          <w:rFonts w:ascii="Aptos;sans-serif" w:hAnsi="Aptos;sans-serif"/>
          <w:color w:val="000000"/>
          <w:sz w:val="22"/>
        </w:rPr>
        <w:t>of $6.1</w:t>
      </w:r>
      <w:r>
        <w:rPr>
          <w:rFonts w:ascii="Times New Roman" w:hAnsi="Times New Roman"/>
          <w:color w:val="000000"/>
          <w:sz w:val="22"/>
        </w:rPr>
        <w:t> </w:t>
      </w:r>
      <w:r>
        <w:rPr>
          <w:rFonts w:ascii="Aptos;sans-serif" w:hAnsi="Aptos;sans-serif"/>
          <w:color w:val="000000"/>
          <w:sz w:val="22"/>
        </w:rPr>
        <w:t>million, or</w:t>
      </w:r>
      <w:r>
        <w:rPr>
          <w:rFonts w:ascii="Times New Roman" w:hAnsi="Times New Roman"/>
          <w:color w:val="000000"/>
          <w:sz w:val="22"/>
        </w:rPr>
        <w:t> </w:t>
      </w:r>
      <w:r>
        <w:rPr>
          <w:rFonts w:ascii="Aptos;sans-serif" w:hAnsi="Aptos;sans-serif"/>
          <w:color w:val="000000"/>
          <w:sz w:val="22"/>
        </w:rPr>
        <w:t>38%, compared</w:t>
      </w:r>
      <w:r>
        <w:rPr>
          <w:rFonts w:ascii="Times New Roman" w:hAnsi="Times New Roman"/>
          <w:color w:val="000000"/>
          <w:sz w:val="22"/>
        </w:rPr>
        <w:t> </w:t>
      </w:r>
      <w:r>
        <w:rPr>
          <w:rFonts w:ascii="Aptos;sans-serif" w:hAnsi="Aptos;sans-serif"/>
          <w:color w:val="000000"/>
          <w:sz w:val="22"/>
        </w:rPr>
        <w:t>to $16.0</w:t>
      </w:r>
      <w:r>
        <w:rPr>
          <w:rFonts w:ascii="Times New Roman" w:hAnsi="Times New Roman"/>
          <w:color w:val="000000"/>
          <w:sz w:val="22"/>
        </w:rPr>
        <w:t> </w:t>
      </w:r>
      <w:r>
        <w:rPr>
          <w:rFonts w:ascii="Aptos;sans-serif" w:hAnsi="Aptos;sans-serif"/>
          <w:color w:val="000000"/>
          <w:sz w:val="22"/>
        </w:rPr>
        <w:t>million for the three months ended June 30, 2025.</w:t>
      </w:r>
      <w:r>
        <w:rPr>
          <w:rFonts w:ascii="Times New Roman" w:hAnsi="Times New Roman"/>
          <w:color w:val="000000"/>
          <w:sz w:val="22"/>
        </w:rPr>
        <w:t> </w:t>
      </w:r>
      <w:r>
        <w:rPr>
          <w:rFonts w:ascii="Aptos;sans-serif" w:hAnsi="Aptos;sans-serif"/>
          <w:color w:val="000000"/>
          <w:sz w:val="22"/>
        </w:rPr>
        <w:t>The net decrease was primarily driven by $7.6 million lower clinical trial expense related to</w:t>
      </w:r>
      <w:r>
        <w:rPr>
          <w:rFonts w:ascii="Times New Roman" w:hAnsi="Times New Roman"/>
          <w:color w:val="000000"/>
          <w:sz w:val="22"/>
        </w:rPr>
        <w:t> </w:t>
      </w:r>
      <w:r>
        <w:rPr>
          <w:rFonts w:ascii="Aptos;sans-serif" w:hAnsi="Aptos;sans-serif"/>
          <w:color w:val="000000"/>
          <w:sz w:val="22"/>
        </w:rPr>
        <w:t>AD109 (proposed proprietary name Oxnimbi) as</w:t>
      </w:r>
      <w:r>
        <w:rPr>
          <w:rFonts w:ascii="Times New Roman" w:hAnsi="Times New Roman"/>
          <w:color w:val="000000"/>
          <w:sz w:val="22"/>
        </w:rPr>
        <w:t> </w:t>
      </w:r>
      <w:r>
        <w:rPr>
          <w:rFonts w:ascii="Aptos;sans-serif" w:hAnsi="Aptos;sans-serif"/>
          <w:color w:val="000000"/>
          <w:sz w:val="22"/>
        </w:rPr>
        <w:t>LunAIRo</w:t>
      </w:r>
      <w:r>
        <w:rPr>
          <w:rFonts w:ascii="Times New Roman" w:hAnsi="Times New Roman"/>
          <w:color w:val="000000"/>
          <w:sz w:val="22"/>
        </w:rPr>
        <w:t> </w:t>
      </w:r>
      <w:r>
        <w:rPr>
          <w:rFonts w:ascii="Aptos;sans-serif" w:hAnsi="Aptos;sans-serif"/>
          <w:color w:val="000000"/>
          <w:sz w:val="22"/>
        </w:rPr>
        <w:t>and</w:t>
      </w:r>
      <w:r>
        <w:rPr>
          <w:rFonts w:ascii="Times New Roman" w:hAnsi="Times New Roman"/>
          <w:color w:val="000000"/>
          <w:sz w:val="22"/>
        </w:rPr>
        <w:t> </w:t>
      </w:r>
      <w:r>
        <w:rPr>
          <w:rFonts w:ascii="Aptos;sans-serif" w:hAnsi="Aptos;sans-serif"/>
          <w:color w:val="000000"/>
          <w:sz w:val="22"/>
        </w:rPr>
        <w:t>SynAIRgy</w:t>
      </w:r>
      <w:r>
        <w:rPr>
          <w:rFonts w:ascii="Times New Roman" w:hAnsi="Times New Roman"/>
          <w:color w:val="000000"/>
          <w:sz w:val="22"/>
        </w:rPr>
        <w:t> </w:t>
      </w:r>
      <w:r>
        <w:rPr>
          <w:rFonts w:ascii="Aptos;sans-serif" w:hAnsi="Aptos;sans-serif"/>
          <w:color w:val="000000"/>
          <w:sz w:val="22"/>
        </w:rPr>
        <w:t>trials were completed in 2025, and $0.1</w:t>
      </w:r>
      <w:r>
        <w:rPr>
          <w:rFonts w:ascii="Times New Roman" w:hAnsi="Times New Roman"/>
          <w:color w:val="000000"/>
          <w:sz w:val="22"/>
        </w:rPr>
        <w:t> </w:t>
      </w:r>
      <w:r>
        <w:rPr>
          <w:rFonts w:ascii="Aptos;sans-serif" w:hAnsi="Aptos;sans-serif"/>
          <w:color w:val="000000"/>
          <w:sz w:val="22"/>
        </w:rPr>
        <w:t>million decrease in other projects expense. This decrease was partially offset by an increase of $1.6 million in medical affairs expense due to increased Key Opinion Leader engagement in 2026.</w:t>
      </w:r>
      <w:r>
        <w:rPr>
          <w:rFonts w:ascii="Times New Roman" w:hAnsi="Times New Roman"/>
          <w:color w:val="000000"/>
          <w:sz w:val="22"/>
        </w:rPr>
        <w:t xml:space="preserve">  </w:t>
      </w:r>
    </w:p>
    <w:p>
      <w:pPr>
        <w:pStyle w:val="TextBody"/>
        <w:bidi w:val="0"/>
        <w:jc w:val="left"/>
        <w:rPr>
          <w:color w:val="000000"/>
        </w:rPr>
      </w:pPr>
      <w:r>
        <w:rPr>
          <w:color w:val="000000"/>
        </w:rPr>
        <w:t xml:space="preserve">  </w:t>
      </w:r>
    </w:p>
    <w:p>
      <w:pPr>
        <w:pStyle w:val="TextBody"/>
        <w:bidi w:val="0"/>
        <w:jc w:val="left"/>
        <w:rPr>
          <w:rFonts w:ascii="Times New Roman" w:hAnsi="Times New Roman"/>
          <w:sz w:val="22"/>
        </w:rPr>
      </w:pPr>
      <w:r>
        <w:rPr>
          <w:rFonts w:ascii="Aptos;sans-serif" w:hAnsi="Aptos;sans-serif"/>
          <w:color w:val="000000"/>
          <w:sz w:val="22"/>
        </w:rPr>
        <w:t>General and administrative expenses were $12.7</w:t>
      </w:r>
      <w:r>
        <w:rPr>
          <w:rFonts w:ascii="Times New Roman" w:hAnsi="Times New Roman"/>
          <w:color w:val="000000"/>
          <w:sz w:val="22"/>
        </w:rPr>
        <w:t> </w:t>
      </w:r>
      <w:r>
        <w:rPr>
          <w:rFonts w:ascii="Aptos;sans-serif" w:hAnsi="Aptos;sans-serif"/>
          <w:color w:val="000000"/>
          <w:sz w:val="22"/>
        </w:rPr>
        <w:t>million for the three months ended June 30, 2026, an increase of $7.3</w:t>
      </w:r>
      <w:r>
        <w:rPr>
          <w:rFonts w:ascii="Times New Roman" w:hAnsi="Times New Roman"/>
          <w:color w:val="000000"/>
          <w:sz w:val="22"/>
        </w:rPr>
        <w:t> </w:t>
      </w:r>
      <w:r>
        <w:rPr>
          <w:rFonts w:ascii="Aptos;sans-serif" w:hAnsi="Aptos;sans-serif"/>
          <w:color w:val="000000"/>
          <w:sz w:val="22"/>
        </w:rPr>
        <w:t>million,</w:t>
      </w:r>
      <w:r>
        <w:rPr>
          <w:rFonts w:ascii="Times New Roman" w:hAnsi="Times New Roman"/>
          <w:color w:val="000000"/>
          <w:sz w:val="22"/>
        </w:rPr>
        <w:t> </w:t>
      </w:r>
      <w:r>
        <w:rPr>
          <w:rFonts w:ascii="Aptos;sans-serif" w:hAnsi="Aptos;sans-serif"/>
          <w:color w:val="000000"/>
          <w:sz w:val="22"/>
        </w:rPr>
        <w:t>or</w:t>
      </w:r>
      <w:r>
        <w:rPr>
          <w:rFonts w:ascii="Times New Roman" w:hAnsi="Times New Roman"/>
          <w:color w:val="000000"/>
          <w:sz w:val="22"/>
        </w:rPr>
        <w:t> </w:t>
      </w:r>
      <w:r>
        <w:rPr>
          <w:rFonts w:ascii="Aptos;sans-serif" w:hAnsi="Aptos;sans-serif"/>
          <w:color w:val="000000"/>
          <w:sz w:val="22"/>
        </w:rPr>
        <w:t>greater than 100%, compared to $5.4</w:t>
      </w:r>
      <w:r>
        <w:rPr>
          <w:rFonts w:ascii="Times New Roman" w:hAnsi="Times New Roman"/>
          <w:color w:val="000000"/>
          <w:sz w:val="22"/>
        </w:rPr>
        <w:t> </w:t>
      </w:r>
      <w:r>
        <w:rPr>
          <w:rFonts w:ascii="Aptos;sans-serif" w:hAnsi="Aptos;sans-serif"/>
          <w:color w:val="000000"/>
          <w:sz w:val="22"/>
        </w:rPr>
        <w:t>million for the three months ended June 30, 2025. The net increase</w:t>
      </w:r>
      <w:r>
        <w:rPr>
          <w:rFonts w:ascii="Times New Roman" w:hAnsi="Times New Roman"/>
          <w:color w:val="000000"/>
          <w:sz w:val="22"/>
        </w:rPr>
        <w:t> </w:t>
      </w:r>
      <w:r>
        <w:rPr>
          <w:rFonts w:ascii="Aptos;sans-serif" w:hAnsi="Aptos;sans-serif"/>
          <w:color w:val="000000"/>
          <w:sz w:val="22"/>
        </w:rPr>
        <w:t>was</w:t>
      </w:r>
      <w:r>
        <w:rPr>
          <w:rFonts w:ascii="Times New Roman" w:hAnsi="Times New Roman"/>
          <w:color w:val="000000"/>
          <w:sz w:val="22"/>
        </w:rPr>
        <w:t> </w:t>
      </w:r>
      <w:r>
        <w:rPr>
          <w:rFonts w:ascii="Aptos;sans-serif" w:hAnsi="Aptos;sans-serif"/>
          <w:color w:val="000000"/>
          <w:sz w:val="22"/>
        </w:rPr>
        <w:t>primarily related to increases of $3.0</w:t>
      </w:r>
      <w:r>
        <w:rPr>
          <w:rFonts w:ascii="Times New Roman" w:hAnsi="Times New Roman"/>
          <w:color w:val="000000"/>
          <w:sz w:val="22"/>
        </w:rPr>
        <w:t> </w:t>
      </w:r>
      <w:r>
        <w:rPr>
          <w:rFonts w:ascii="Aptos;sans-serif" w:hAnsi="Aptos;sans-serif"/>
          <w:color w:val="000000"/>
          <w:sz w:val="22"/>
        </w:rPr>
        <w:t>million in</w:t>
      </w:r>
      <w:r>
        <w:rPr>
          <w:rFonts w:ascii="Times New Roman" w:hAnsi="Times New Roman"/>
          <w:color w:val="000000"/>
          <w:sz w:val="22"/>
        </w:rPr>
        <w:t> </w:t>
      </w:r>
      <w:r>
        <w:rPr>
          <w:rFonts w:ascii="Aptos;sans-serif" w:hAnsi="Aptos;sans-serif"/>
          <w:color w:val="000000"/>
          <w:sz w:val="22"/>
        </w:rPr>
        <w:t>legal services</w:t>
      </w:r>
      <w:r>
        <w:rPr>
          <w:rFonts w:ascii="Times New Roman" w:hAnsi="Times New Roman"/>
          <w:color w:val="000000"/>
          <w:sz w:val="22"/>
        </w:rPr>
        <w:t> </w:t>
      </w:r>
      <w:r>
        <w:rPr>
          <w:rFonts w:ascii="Aptos;sans-serif" w:hAnsi="Aptos;sans-serif"/>
          <w:color w:val="000000"/>
          <w:sz w:val="22"/>
        </w:rPr>
        <w:t>incurred related to business consulting and contract negotiations, and increased salary expense due to increased</w:t>
      </w:r>
      <w:r>
        <w:rPr>
          <w:rFonts w:ascii="Times New Roman" w:hAnsi="Times New Roman"/>
          <w:color w:val="000000"/>
          <w:sz w:val="22"/>
        </w:rPr>
        <w:t> </w:t>
      </w:r>
      <w:r>
        <w:rPr>
          <w:rFonts w:ascii="Aptos;sans-serif" w:hAnsi="Aptos;sans-serif"/>
          <w:color w:val="000000"/>
          <w:sz w:val="22"/>
        </w:rPr>
        <w:t>headcount, $4.0 million</w:t>
      </w:r>
      <w:r>
        <w:rPr>
          <w:rFonts w:ascii="Times New Roman" w:hAnsi="Times New Roman"/>
          <w:color w:val="000000"/>
          <w:sz w:val="22"/>
        </w:rPr>
        <w:t> </w:t>
      </w:r>
      <w:r>
        <w:rPr>
          <w:rFonts w:ascii="Aptos;sans-serif" w:hAnsi="Aptos;sans-serif"/>
          <w:color w:val="000000"/>
          <w:sz w:val="22"/>
        </w:rPr>
        <w:t>in infrastructure to prepare us, the market, and our brand for the expected launch of</w:t>
      </w:r>
      <w:r>
        <w:rPr>
          <w:rFonts w:ascii="Times New Roman" w:hAnsi="Times New Roman"/>
          <w:color w:val="000000"/>
          <w:sz w:val="22"/>
        </w:rPr>
        <w:t> </w:t>
      </w:r>
      <w:r>
        <w:rPr>
          <w:rFonts w:ascii="Aptos;sans-serif" w:hAnsi="Aptos;sans-serif"/>
          <w:color w:val="000000"/>
          <w:sz w:val="22"/>
        </w:rPr>
        <w:t>Oxnimbi, if approved, including key areas such as education on the unmet needs in OSA, pricing strategy, forecast estimates, market access planning, product positioning and stakeholder messaging, and $0.3 million in stock-based compensation related to increased headcount.</w:t>
      </w:r>
      <w:r>
        <w:rPr>
          <w:rFonts w:ascii="Times New Roman" w:hAnsi="Times New Roman"/>
          <w:color w:val="000000"/>
          <w:sz w:val="22"/>
        </w:rPr>
        <w:t xml:space="preserve">  </w:t>
      </w:r>
    </w:p>
    <w:p>
      <w:pPr>
        <w:pStyle w:val="TextBody"/>
        <w:bidi w:val="0"/>
        <w:jc w:val="both"/>
        <w:rPr>
          <w:rFonts w:ascii="Aptos;sans-serif" w:hAnsi="Aptos;sans-serif"/>
          <w:color w:val="000000"/>
          <w:sz w:val="22"/>
        </w:rPr>
      </w:pPr>
      <w:r>
        <w:rPr>
          <w:rFonts w:ascii="Aptos;sans-serif" w:hAnsi="Aptos;sans-serif"/>
          <w:color w:val="000000"/>
          <w:sz w:val="22"/>
        </w:rPr>
        <w:t>Other income (expenses) was $137.8 million for the three months ended June 30, 2026, an increase of $137.5 million, or greater than 100%, compared to $0.3 million for the three months ended June 30, 2025. The net increase is primarily related to a $57.1 million gain on reversal of deposit liability, an $85.4 million gain on sale of equity method investment, a $0.6 million increase in interest income, and a change in other income of $0.1 million due to the change in fair value of the contingent asset, offset by a $2.9 million combined change in fair value of long-term debt, revenue interest liability, and the convertible notes, and an increase in other expense related to $2.9 million of long-term debt and revenue interest liability issuance costs.</w:t>
      </w:r>
    </w:p>
    <w:p>
      <w:pPr>
        <w:pStyle w:val="TextBody"/>
        <w:bidi w:val="0"/>
        <w:jc w:val="left"/>
        <w:rPr>
          <w:color w:val="000000"/>
        </w:rPr>
      </w:pPr>
      <w:r>
        <w:rPr>
          <w:color w:val="000000"/>
        </w:rPr>
        <w:t xml:space="preserve">  </w:t>
      </w:r>
    </w:p>
    <w:p>
      <w:pPr>
        <w:pStyle w:val="TextBody"/>
        <w:bidi w:val="0"/>
        <w:jc w:val="left"/>
        <w:rPr>
          <w:rFonts w:ascii="Times New Roman" w:hAnsi="Times New Roman"/>
          <w:sz w:val="22"/>
        </w:rPr>
      </w:pPr>
      <w:r>
        <w:rPr>
          <w:rFonts w:ascii="Aptos;sans-serif" w:hAnsi="Aptos;sans-serif"/>
          <w:color w:val="000000"/>
          <w:sz w:val="22"/>
        </w:rPr>
        <w:t>Net</w:t>
      </w:r>
      <w:r>
        <w:rPr>
          <w:rFonts w:ascii="Times New Roman" w:hAnsi="Times New Roman"/>
          <w:color w:val="000000"/>
          <w:sz w:val="22"/>
        </w:rPr>
        <w:t> </w:t>
      </w:r>
      <w:r>
        <w:rPr>
          <w:rFonts w:ascii="Aptos;sans-serif" w:hAnsi="Aptos;sans-serif"/>
          <w:color w:val="000000"/>
          <w:sz w:val="22"/>
        </w:rPr>
        <w:t>income</w:t>
      </w:r>
      <w:r>
        <w:rPr>
          <w:rFonts w:ascii="Times New Roman" w:hAnsi="Times New Roman"/>
          <w:color w:val="000000"/>
          <w:sz w:val="22"/>
        </w:rPr>
        <w:t> </w:t>
      </w:r>
      <w:r>
        <w:rPr>
          <w:rFonts w:ascii="Aptos;sans-serif" w:hAnsi="Aptos;sans-serif"/>
          <w:color w:val="000000"/>
          <w:sz w:val="22"/>
        </w:rPr>
        <w:t>was $125.9</w:t>
      </w:r>
      <w:r>
        <w:rPr>
          <w:rFonts w:ascii="Times New Roman" w:hAnsi="Times New Roman"/>
          <w:color w:val="000000"/>
          <w:sz w:val="22"/>
        </w:rPr>
        <w:t> </w:t>
      </w:r>
      <w:r>
        <w:rPr>
          <w:rFonts w:ascii="Aptos;sans-serif" w:hAnsi="Aptos;sans-serif"/>
          <w:color w:val="000000"/>
          <w:sz w:val="22"/>
        </w:rPr>
        <w:t>million for the quarter ended</w:t>
      </w:r>
      <w:r>
        <w:rPr>
          <w:rFonts w:ascii="Times New Roman" w:hAnsi="Times New Roman"/>
          <w:color w:val="000000"/>
          <w:sz w:val="22"/>
        </w:rPr>
        <w:t> </w:t>
      </w:r>
      <w:r>
        <w:rPr>
          <w:rFonts w:ascii="Aptos;sans-serif" w:hAnsi="Aptos;sans-serif"/>
          <w:color w:val="000000"/>
          <w:sz w:val="22"/>
        </w:rPr>
        <w:t>June 30, 2026, compared to</w:t>
      </w:r>
      <w:r>
        <w:rPr>
          <w:rFonts w:ascii="Times New Roman" w:hAnsi="Times New Roman"/>
          <w:color w:val="000000"/>
          <w:sz w:val="22"/>
        </w:rPr>
        <w:t> </w:t>
      </w:r>
      <w:r>
        <w:rPr>
          <w:rFonts w:ascii="Aptos;sans-serif" w:hAnsi="Aptos;sans-serif"/>
          <w:color w:val="000000"/>
          <w:sz w:val="22"/>
        </w:rPr>
        <w:t>a net loss of $69.5</w:t>
      </w:r>
      <w:r>
        <w:rPr>
          <w:rFonts w:ascii="Times New Roman" w:hAnsi="Times New Roman"/>
          <w:color w:val="000000"/>
          <w:sz w:val="22"/>
        </w:rPr>
        <w:t> </w:t>
      </w:r>
      <w:r>
        <w:rPr>
          <w:rFonts w:ascii="Aptos;sans-serif" w:hAnsi="Aptos;sans-serif"/>
          <w:color w:val="000000"/>
          <w:sz w:val="22"/>
        </w:rPr>
        <w:t>million for the quarter ended</w:t>
      </w:r>
      <w:r>
        <w:rPr>
          <w:rFonts w:ascii="Times New Roman" w:hAnsi="Times New Roman"/>
          <w:color w:val="000000"/>
          <w:sz w:val="22"/>
        </w:rPr>
        <w:t> </w:t>
      </w:r>
      <w:r>
        <w:rPr>
          <w:rFonts w:ascii="Aptos;sans-serif" w:hAnsi="Aptos;sans-serif"/>
          <w:color w:val="000000"/>
          <w:sz w:val="22"/>
        </w:rPr>
        <w:t>June 30, 2025. The</w:t>
      </w:r>
      <w:r>
        <w:rPr>
          <w:rFonts w:ascii="Times New Roman" w:hAnsi="Times New Roman"/>
          <w:color w:val="000000"/>
          <w:sz w:val="22"/>
        </w:rPr>
        <w:t> </w:t>
      </w:r>
      <w:r>
        <w:rPr>
          <w:rFonts w:ascii="Aptos;sans-serif" w:hAnsi="Aptos;sans-serif"/>
          <w:color w:val="000000"/>
          <w:sz w:val="22"/>
        </w:rPr>
        <w:t>increase</w:t>
      </w:r>
      <w:r>
        <w:rPr>
          <w:rFonts w:ascii="Times New Roman" w:hAnsi="Times New Roman"/>
          <w:color w:val="000000"/>
          <w:sz w:val="22"/>
        </w:rPr>
        <w:t> </w:t>
      </w:r>
      <w:r>
        <w:rPr>
          <w:rFonts w:ascii="Aptos;sans-serif" w:hAnsi="Aptos;sans-serif"/>
          <w:color w:val="000000"/>
          <w:sz w:val="22"/>
        </w:rPr>
        <w:t>was primarily attributable to the factors impacting the Company’s expenses and other income described above.</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Aptos;sans-serif" w:hAnsi="Aptos;sans-serif"/>
          <w:sz w:val="22"/>
        </w:rPr>
      </w:pPr>
      <w:r>
        <w:rPr>
          <w:rFonts w:ascii="Aptos;sans-serif" w:hAnsi="Aptos;sans-serif"/>
          <w:b/>
          <w:color w:val="000000"/>
          <w:sz w:val="22"/>
        </w:rPr>
        <w:t>About AD109 / Oxnimbi</w:t>
      </w:r>
      <w:r>
        <w:rPr>
          <w:rFonts w:ascii="Aptos;sans-serif" w:hAnsi="Aptos;sans-serif"/>
          <w:color w:val="000000"/>
          <w:sz w:val="22"/>
        </w:rPr>
        <w:t xml:space="preserve"> </w:t>
      </w:r>
    </w:p>
    <w:p>
      <w:pPr>
        <w:pStyle w:val="TextBody"/>
        <w:bidi w:val="0"/>
        <w:jc w:val="left"/>
        <w:rPr>
          <w:rFonts w:ascii="Times New Roman" w:hAnsi="Times New Roman"/>
          <w:sz w:val="22"/>
        </w:rPr>
      </w:pPr>
      <w:r>
        <w:rPr>
          <w:rFonts w:ascii="Aptos;sans-serif" w:hAnsi="Aptos;sans-serif"/>
          <w:color w:val="000000"/>
          <w:sz w:val="22"/>
        </w:rPr>
        <w:t>AD109 is Apnimed’s investigational drug candidate, with a proposed proprietary name of Oxnimbi. The proposed name remains subject to final FDA review and acceptance and may change. Oxnimbi is</w:t>
      </w:r>
      <w:r>
        <w:rPr>
          <w:rFonts w:ascii="Times New Roman" w:hAnsi="Times New Roman"/>
          <w:color w:val="000000"/>
          <w:sz w:val="22"/>
        </w:rPr>
        <w:t> </w:t>
      </w:r>
      <w:r>
        <w:rPr>
          <w:rFonts w:ascii="Aptos;sans-serif" w:hAnsi="Aptos;sans-serif"/>
          <w:color w:val="000000"/>
          <w:sz w:val="22"/>
        </w:rPr>
        <w:t>designed to be the first potential pharmacological treatment to improve oxygenation during sleep and target the neuromuscular root cause of upper airway collapse in people with OSA. It is a</w:t>
      </w:r>
      <w:r>
        <w:rPr>
          <w:rFonts w:ascii="Times New Roman" w:hAnsi="Times New Roman"/>
          <w:color w:val="000000"/>
          <w:sz w:val="22"/>
        </w:rPr>
        <w:t> </w:t>
      </w:r>
      <w:r>
        <w:rPr>
          <w:rFonts w:ascii="Aptos;sans-serif" w:hAnsi="Aptos;sans-serif"/>
          <w:color w:val="000000"/>
          <w:sz w:val="22"/>
        </w:rPr>
        <w:t>potentially first-in-class combination of</w:t>
      </w:r>
      <w:r>
        <w:rPr>
          <w:rFonts w:ascii="Times New Roman" w:hAnsi="Times New Roman"/>
          <w:color w:val="000000"/>
          <w:sz w:val="22"/>
        </w:rPr>
        <w:t> </w:t>
      </w:r>
      <w:r>
        <w:rPr>
          <w:rFonts w:ascii="Aptos;sans-serif" w:hAnsi="Aptos;sans-serif"/>
          <w:color w:val="000000"/>
          <w:sz w:val="22"/>
        </w:rPr>
        <w:t>aroxybutynin, a novel antimuscarinic, and atomoxetine, a selective norepinephrine reuptake inhibitor. Oxnimbi is intended to be a once-daily</w:t>
      </w:r>
      <w:r>
        <w:rPr>
          <w:rFonts w:ascii="Times New Roman" w:hAnsi="Times New Roman"/>
          <w:color w:val="000000"/>
          <w:sz w:val="22"/>
        </w:rPr>
        <w:t> </w:t>
      </w:r>
      <w:r>
        <w:rPr>
          <w:rFonts w:ascii="Aptos;sans-serif" w:hAnsi="Aptos;sans-serif"/>
          <w:color w:val="000000"/>
          <w:sz w:val="22"/>
        </w:rPr>
        <w:t>oral pill taken at bedtime that is designed to lower the complexity of treating OSA. Oxnimbi, if approved, may offer an oral solution to help improve oxygenation and health for people living with OSA. Oxnimbi has completed two Phase 3 clinical trials for the treatment of mild, moderate and severe OSA. Apnimed's NDA for Oxnimbi is under review by the FDA and was assigned a PDUFA goal date of February 28, 2027. There can be no assurances that Oxnimbi will be approved by the FDA by the PDUFA target action date, or at all.</w:t>
      </w:r>
      <w:r>
        <w:rPr>
          <w:rFonts w:ascii="Times New Roman" w:hAnsi="Times New Roman"/>
          <w:color w:val="000000"/>
          <w:sz w:val="22"/>
        </w:rPr>
        <w:t xml:space="preserve"> </w:t>
      </w:r>
    </w:p>
    <w:p>
      <w:pPr>
        <w:pStyle w:val="TextBody"/>
        <w:bidi w:val="0"/>
        <w:jc w:val="left"/>
        <w:rPr/>
      </w:pPr>
      <w:r>
        <w:rPr/>
        <w:t> </w:t>
      </w:r>
    </w:p>
    <w:p>
      <w:pPr>
        <w:pStyle w:val="TextBody"/>
        <w:bidi w:val="0"/>
        <w:jc w:val="left"/>
        <w:rPr>
          <w:rFonts w:ascii="Times New Roman" w:hAnsi="Times New Roman"/>
          <w:sz w:val="22"/>
        </w:rPr>
      </w:pPr>
      <w:r>
        <w:rPr>
          <w:rFonts w:ascii="Aptos;sans-serif" w:hAnsi="Aptos;sans-serif"/>
          <w:b/>
          <w:color w:val="000000"/>
          <w:sz w:val="22"/>
        </w:rPr>
        <w:t>About</w:t>
      </w:r>
      <w:r>
        <w:rPr>
          <w:rFonts w:ascii="Times New Roman" w:hAnsi="Times New Roman"/>
          <w:color w:val="000000"/>
          <w:sz w:val="22"/>
        </w:rPr>
        <w:t> </w:t>
      </w:r>
      <w:r>
        <w:rPr>
          <w:rFonts w:ascii="Aptos;sans-serif" w:hAnsi="Aptos;sans-serif"/>
          <w:b/>
          <w:color w:val="000000"/>
          <w:sz w:val="22"/>
        </w:rPr>
        <w:t>Apnimed</w:t>
      </w:r>
      <w:r>
        <w:rPr>
          <w:rFonts w:ascii="Times New Roman" w:hAnsi="Times New Roman"/>
          <w:color w:val="000000"/>
          <w:sz w:val="22"/>
        </w:rPr>
        <w:t xml:space="preserve">   </w:t>
      </w:r>
    </w:p>
    <w:p>
      <w:pPr>
        <w:pStyle w:val="TextBody"/>
        <w:bidi w:val="0"/>
        <w:jc w:val="left"/>
        <w:rPr>
          <w:rFonts w:ascii="Aptos;sans-serif" w:hAnsi="Aptos;sans-serif"/>
          <w:color w:val="000000"/>
          <w:sz w:val="22"/>
        </w:rPr>
      </w:pPr>
      <w:r>
        <w:rPr>
          <w:rFonts w:ascii="Aptos;sans-serif" w:hAnsi="Aptos;sans-serif"/>
          <w:color w:val="000000"/>
          <w:sz w:val="22"/>
        </w:rPr>
        <w:t>Apnimed is a late stage clinical pharmaceutical company dedicated to the discovery, development and commercialization of novel oral therapies that address the neurobiology of sleep-related breathing diseases. We believe the introduction of once-nightly oral drugs has the potential to expand diagnosis and the reach of treatment for people with OSA. We believe that people with OSA would benefit from having multiple treatment options with differing mechanisms to more fully address the heterogeneity of OSA’s disease pathophysiology. Apnimed envisions a new era where novel oral therapies simplify intervention and expand the reach of diagnosis and treatment.</w:t>
      </w:r>
    </w:p>
    <w:p>
      <w:pPr>
        <w:pStyle w:val="TextBody"/>
        <w:bidi w:val="0"/>
        <w:jc w:val="left"/>
        <w:rPr/>
      </w:pPr>
      <w:r>
        <w:rPr/>
        <w:t> </w:t>
      </w:r>
    </w:p>
    <w:p>
      <w:pPr>
        <w:pStyle w:val="TextBody"/>
        <w:bidi w:val="0"/>
        <w:jc w:val="left"/>
        <w:rPr>
          <w:rFonts w:ascii="Aptos;sans-serif" w:hAnsi="Aptos;sans-serif"/>
          <w:color w:val="000000"/>
          <w:sz w:val="22"/>
        </w:rPr>
      </w:pPr>
      <w:r>
        <w:rPr>
          <w:rFonts w:ascii="Aptos;sans-serif" w:hAnsi="Aptos;sans-serif"/>
          <w:color w:val="000000"/>
          <w:sz w:val="22"/>
        </w:rPr>
        <w:t xml:space="preserve">Apnimed is advancing its product candidate, AD109 (proposed proprietary name Oxnimbi), which is designed to improve oxygenation in individuals living with OSA. We believe that Oxnimbi could become the catalyst for a new oral treatment paradigm for OSA that has been historically limited to devices or invasive surgeries. </w:t>
      </w:r>
    </w:p>
    <w:p>
      <w:pPr>
        <w:pStyle w:val="TextBody"/>
        <w:bidi w:val="0"/>
        <w:jc w:val="left"/>
        <w:rPr>
          <w:rFonts w:ascii="Times New Roman" w:hAnsi="Times New Roman"/>
          <w:sz w:val="22"/>
        </w:rPr>
      </w:pPr>
      <w:r>
        <w:rPr>
          <w:rFonts w:ascii="Aptos;sans-serif" w:hAnsi="Aptos;sans-serif"/>
          <w:color w:val="000000"/>
          <w:sz w:val="22"/>
        </w:rPr>
        <w:t xml:space="preserve">Learn more at apnimed.com or follow us on </w:t>
      </w:r>
      <w:r>
        <w:rPr>
          <w:rFonts w:ascii="Times New Roman" w:hAnsi="Times New Roman"/>
          <w:color w:val="000000"/>
          <w:sz w:val="22"/>
        </w:rPr>
        <w:t> </w:t>
      </w:r>
      <w:r>
        <w:rPr>
          <w:rFonts w:ascii="Aptos;sans-serif" w:hAnsi="Aptos;sans-serif"/>
          <w:color w:val="000000"/>
          <w:sz w:val="22"/>
        </w:rPr>
        <w:t>X</w:t>
      </w:r>
      <w:r>
        <w:rPr>
          <w:rFonts w:ascii="Times New Roman" w:hAnsi="Times New Roman"/>
          <w:color w:val="000000"/>
          <w:sz w:val="22"/>
        </w:rPr>
        <w:t xml:space="preserve">  </w:t>
      </w:r>
      <w:r>
        <w:rPr>
          <w:rFonts w:ascii="Aptos;sans-serif" w:hAnsi="Aptos;sans-serif"/>
          <w:color w:val="000000"/>
          <w:sz w:val="22"/>
        </w:rPr>
        <w:t xml:space="preserve">and </w:t>
      </w:r>
      <w:r>
        <w:rPr>
          <w:rFonts w:ascii="Times New Roman" w:hAnsi="Times New Roman"/>
          <w:color w:val="000000"/>
          <w:sz w:val="22"/>
        </w:rPr>
        <w:t> </w:t>
      </w:r>
      <w:r>
        <w:rPr>
          <w:rFonts w:ascii="Aptos;sans-serif" w:hAnsi="Aptos;sans-serif"/>
          <w:color w:val="000000"/>
          <w:sz w:val="22"/>
        </w:rPr>
        <w:t>LinkedIn.</w:t>
      </w:r>
      <w:r>
        <w:rPr>
          <w:rFonts w:ascii="Times New Roman" w:hAnsi="Times New Roman"/>
          <w:color w:val="000000"/>
          <w:sz w:val="22"/>
        </w:rPr>
        <w:t xml:space="preserve">   </w:t>
      </w:r>
    </w:p>
    <w:p>
      <w:pPr>
        <w:pStyle w:val="TextBody"/>
        <w:bidi w:val="0"/>
        <w:jc w:val="left"/>
        <w:rPr>
          <w:rFonts w:ascii="Aptos;sans-serif" w:hAnsi="Aptos;sans-serif"/>
          <w:sz w:val="22"/>
        </w:rPr>
      </w:pPr>
      <w:r>
        <w:rPr>
          <w:rFonts w:ascii="Aptos;sans-serif" w:hAnsi="Aptos;sans-serif"/>
          <w:b/>
          <w:color w:val="000000"/>
          <w:sz w:val="22"/>
        </w:rPr>
        <w:t>Cautionary Note Regarding Forward-Looking Statements</w:t>
      </w:r>
      <w:r>
        <w:rPr>
          <w:rFonts w:ascii="Aptos;sans-serif" w:hAnsi="Aptos;sans-serif"/>
          <w:color w:val="000000"/>
          <w:sz w:val="22"/>
        </w:rPr>
        <w:t xml:space="preserve"> </w:t>
      </w:r>
    </w:p>
    <w:p>
      <w:pPr>
        <w:pStyle w:val="TextBody"/>
        <w:bidi w:val="0"/>
        <w:jc w:val="left"/>
        <w:rPr>
          <w:rFonts w:ascii="Aptos;sans-serif" w:hAnsi="Aptos;sans-serif"/>
          <w:color w:val="000000"/>
          <w:sz w:val="22"/>
        </w:rPr>
      </w:pPr>
      <w:r>
        <w:rPr>
          <w:rFonts w:ascii="Aptos;sans-serif" w:hAnsi="Aptos;sans-serif"/>
          <w:color w:val="000000"/>
          <w:sz w:val="22"/>
        </w:rPr>
        <w:t xml:space="preserve">This press release includes certain disclosures that contain “forward-looking statements,” within the meaning of Section 27A of the Securities Act of 1933, as amended (the “Securities Act”), and Section 21E of the Securities Exchange Act of 1934, as amended (the “Exchange Act”). We may, in some cases, use terms such as "predicts," "forecasts," "believes," "potential," "proposed," "continue," "estimates," "anticipates," "expects," "plans," "intends," "may," "could," "might," "should" or other words that convey uncertainty of future events or outcomes to identify these forward-looking statements. Examples of forward-looking statements contained in this press release include, without limitation, statements regarding our expectations as to commercial readiness activities, the potential approval and commercialization of Oxnimbi, the potential acceptance of Oxnimbi as the proprietary name for AD109, the clinical and therapeutic potential of Oxnimbi (including to address OSA), the size of the commercial opportunity for Oxnimbi, the occurrence and timing of the PDUFA goal date for Oxnimbi, and other statements that are not historical facts. We intend these forward- looking statements to be covered by the safe harbor provisions for forward looking statements contained in Section 27A of the Securities Act and Section 21E of the Exchange Act, and are making this statement for purposes of complying with those safe harbor provisions. </w:t>
      </w:r>
    </w:p>
    <w:p>
      <w:pPr>
        <w:pStyle w:val="TextBody"/>
        <w:bidi w:val="0"/>
        <w:jc w:val="left"/>
        <w:rPr>
          <w:rFonts w:ascii="Aptos;sans-serif" w:hAnsi="Aptos;sans-serif"/>
          <w:color w:val="000000"/>
          <w:sz w:val="22"/>
        </w:rPr>
      </w:pPr>
      <w:r>
        <w:rPr>
          <w:rFonts w:ascii="Aptos;sans-serif" w:hAnsi="Aptos;sans-serif"/>
          <w:color w:val="000000"/>
          <w:sz w:val="22"/>
        </w:rPr>
        <w:t xml:space="preserve">Forward-looking statements are based on our current expectations, estimates and projections only as of the date of this release and are subject to inherent uncertainties, risks and assumptions that are difficult to predict. Factors that could cause actual results to differ include, but are not limited to, the risks inherent in biopharmaceutical product development; our ability to execute on our strategy, including obtaining the requisite regulatory approvals on the expected timeline, if at all; risks related to our financial condition and the need for substantial additional funding in order to complete development activities and commercialize Oxnimbi; risks related to the competitive landscape for OSA products; our ability to attract, integrate and retain key personnel; risks related to regulatory developments and approval processes of the FDA and comparable foreign regulatory authorities; and risks related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Aptos;sans-serif" w:hAnsi="Aptos;sans-serif"/>
          <w:color w:val="000000"/>
          <w:sz w:val="22"/>
        </w:rPr>
      </w:pPr>
      <w:r>
        <w:rPr>
          <w:rFonts w:ascii="Aptos;sans-serif" w:hAnsi="Aptos;sans-serif"/>
          <w:color w:val="000000"/>
          <w:sz w:val="22"/>
        </w:rPr>
        <w:t xml:space="preserve">to establishing and maintaining our intellectual property protections. These and other risks and uncertainties concerning our business and operations are described more fully in the sections titled “Risk Factors” of the final prospectus related to the offering filed with the U.S. Securities and Exchange Commission (“SEC”) and in its most recent periodic report filed with the SEC. Forward-looking statements contained in this announcement are made as of this date, and Apnimed undertakes no duty to update such information except as required under applicable law. </w:t>
      </w:r>
    </w:p>
    <w:p>
      <w:pPr>
        <w:pStyle w:val="TextBody"/>
        <w:bidi w:val="0"/>
        <w:jc w:val="left"/>
        <w:rPr>
          <w:rFonts w:ascii="Times New Roman" w:hAnsi="Times New Roman"/>
          <w:sz w:val="22"/>
        </w:rPr>
      </w:pPr>
      <w:r>
        <w:rPr>
          <w:rFonts w:ascii="Aptos;sans-serif" w:hAnsi="Aptos;sans-serif"/>
          <w:color w:val="000000"/>
          <w:sz w:val="22"/>
        </w:rPr>
        <w:t>Media</w:t>
      </w:r>
      <w:r>
        <w:rPr>
          <w:rFonts w:ascii="Times New Roman" w:hAnsi="Times New Roman"/>
          <w:color w:val="000000"/>
          <w:sz w:val="22"/>
        </w:rPr>
        <w:t> </w:t>
      </w:r>
      <w:r>
        <w:rPr>
          <w:rFonts w:ascii="Aptos;sans-serif" w:hAnsi="Aptos;sans-serif"/>
          <w:color w:val="000000"/>
          <w:sz w:val="22"/>
        </w:rPr>
        <w:t>Contact:</w:t>
      </w:r>
      <w:r>
        <w:rPr>
          <w:rFonts w:ascii="Times New Roman" w:hAnsi="Times New Roman"/>
          <w:color w:val="000000"/>
          <w:sz w:val="22"/>
        </w:rPr>
        <w:t> </w:t>
      </w:r>
      <w:r>
        <w:rPr>
          <w:rFonts w:ascii="Aptos;sans-serif" w:hAnsi="Aptos;sans-serif"/>
          <w:color w:val="000000"/>
          <w:sz w:val="22"/>
        </w:rPr>
        <w:br/>
        <w:t>media@apnimed.com</w:t>
      </w:r>
      <w:r>
        <w:rPr>
          <w:rFonts w:ascii="Times New Roman" w:hAnsi="Times New Roman"/>
          <w:color w:val="000000"/>
          <w:sz w:val="22"/>
        </w:rPr>
        <w:t xml:space="preserve"> </w:t>
      </w:r>
    </w:p>
    <w:p>
      <w:pPr>
        <w:pStyle w:val="TextBody"/>
        <w:bidi w:val="0"/>
        <w:jc w:val="left"/>
        <w:rPr>
          <w:rFonts w:ascii="Times New Roman" w:hAnsi="Times New Roman"/>
          <w:sz w:val="22"/>
        </w:rPr>
      </w:pPr>
      <w:r>
        <w:rPr>
          <w:rFonts w:ascii="Aptos;sans-serif" w:hAnsi="Aptos;sans-serif"/>
          <w:color w:val="000000"/>
          <w:sz w:val="22"/>
        </w:rPr>
        <w:t>Investor</w:t>
      </w:r>
      <w:r>
        <w:rPr>
          <w:rFonts w:ascii="Times New Roman" w:hAnsi="Times New Roman"/>
          <w:color w:val="000000"/>
          <w:sz w:val="22"/>
        </w:rPr>
        <w:t> </w:t>
      </w:r>
      <w:r>
        <w:rPr>
          <w:rFonts w:ascii="Aptos;sans-serif" w:hAnsi="Aptos;sans-serif"/>
          <w:color w:val="000000"/>
          <w:sz w:val="22"/>
        </w:rPr>
        <w:t>Contact:</w:t>
      </w:r>
      <w:r>
        <w:rPr>
          <w:rFonts w:ascii="Times New Roman" w:hAnsi="Times New Roman"/>
          <w:color w:val="000000"/>
          <w:sz w:val="22"/>
        </w:rPr>
        <w:t xml:space="preserve">  </w:t>
      </w:r>
      <w:r>
        <w:rPr>
          <w:rFonts w:ascii="Aptos;sans-serif" w:hAnsi="Aptos;sans-serif"/>
          <w:color w:val="000000"/>
          <w:sz w:val="22"/>
        </w:rPr>
        <w:br/>
        <w:t>ir@apnimed.com</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left"/>
        <w:rPr>
          <w:rFonts w:ascii="Times New Roman" w:hAnsi="Times New Roman"/>
          <w:b/>
          <w:color w:val="000000"/>
          <w:sz w:val="30"/>
        </w:rPr>
      </w:pPr>
      <w:r>
        <w:rPr>
          <w:rFonts w:ascii="Times New Roman" w:hAnsi="Times New Roman"/>
          <w:b/>
          <w:color w:val="000000"/>
          <w:sz w:val="30"/>
        </w:rPr>
        <w:t>APNIMED, INC. AND SUBSIDIARY</w:t>
      </w:r>
    </w:p>
    <w:p>
      <w:pPr>
        <w:pStyle w:val="TextBody"/>
        <w:bidi w:val="0"/>
        <w:jc w:val="left"/>
        <w:rPr>
          <w:rFonts w:ascii="Times New Roman" w:hAnsi="Times New Roman"/>
          <w:b/>
          <w:color w:val="000000"/>
          <w:sz w:val="24"/>
        </w:rPr>
      </w:pPr>
      <w:r>
        <w:rPr>
          <w:rFonts w:ascii="Times New Roman" w:hAnsi="Times New Roman"/>
          <w:b/>
          <w:color w:val="000000"/>
          <w:sz w:val="24"/>
        </w:rPr>
        <w:t>CONDENSED CONSOLIDATED BALANCE SHEETS (unaudited)</w:t>
      </w:r>
    </w:p>
    <w:p>
      <w:pPr>
        <w:pStyle w:val="TextBody"/>
        <w:pBdr>
          <w:bottom w:val="single" w:sz="4" w:space="1" w:color="000000"/>
        </w:pBdr>
        <w:bidi w:val="0"/>
        <w:jc w:val="left"/>
        <w:rPr>
          <w:rFonts w:ascii="Times New Roman" w:hAnsi="Times New Roman"/>
          <w:b/>
          <w:color w:val="000000"/>
          <w:sz w:val="24"/>
        </w:rPr>
      </w:pPr>
      <w:r>
        <w:rPr>
          <w:rFonts w:ascii="Times New Roman" w:hAnsi="Times New Roman"/>
          <w:b/>
          <w:color w:val="000000"/>
          <w:sz w:val="24"/>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38"/>
        <w:gridCol w:w="146"/>
        <w:gridCol w:w="237"/>
        <w:gridCol w:w="881"/>
        <w:gridCol w:w="166"/>
        <w:gridCol w:w="146"/>
        <w:gridCol w:w="324"/>
        <w:gridCol w:w="1153"/>
        <w:gridCol w:w="614"/>
      </w:tblGrid>
      <w:tr>
        <w:trPr/>
        <w:tc>
          <w:tcPr>
            <w:tcW w:w="6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65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172,804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41,890</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1,541</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959</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665</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184,772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5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45,055</w:t>
            </w:r>
          </w:p>
        </w:tc>
        <w:tc>
          <w:tcPr>
            <w:tcW w:w="61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26,893</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CONTINGENT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195,456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72,873</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CONVERTIBLE PREFERRED STOCK AND</w:t>
              <w:br/>
              <w:t>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1,788</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11,026</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Short-term 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97,812</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3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110,876</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 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liability, net of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623</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40,646</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Revenue interest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Deposit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57,120</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15,244</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125,698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224,509</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Convertible Preferred Stock, $0.00001 par value, 29,557,303 and 25,934,116 shares</w:t>
              <w:br/>
              <w:t>   authorized as of June 30, 2026 and December 31, 2025, respectively; 28,522,107 shares</w:t>
              <w:br/>
              <w:t>   issued and outstanding as of June 30, 2026 and December 31, 2025.</w:t>
              <w:br/>
              <w:t>   Liquidation preference of $249,518 and $224,518 as of June 30, 2026 and</w:t>
              <w:br/>
              <w:t>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221,147</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Common stock, $0.00001 par value, 51,712,954 (48,567,709 Class A, 2,948,668 Class B,</w:t>
              <w:br/>
              <w:t>   and 196,577 Class C) shares authorized as of June 30, 2026 and 45,627,228</w:t>
              <w:br/>
              <w:t>   (42,481,983 Class A, 2,948,668 Class B, and 196,577 Class C) shares authorized as of</w:t>
              <w:br/>
              <w:t>   December 31, 2025; 4,801,823 (1,853,155 Class A, 2,752,091 Class B, and 196,577</w:t>
              <w:br/>
              <w:t>   Class C) shares issued and outstanding as of June 30, 2026 and 4,781,256 (1,832,588</w:t>
              <w:br/>
              <w:t>   Class A, 2,752,091 Class B, and 196,577 Class C) shares issued and outstanding as of</w:t>
              <w:br/>
              <w: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24,560</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(203,690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(397,344</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53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(176,181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(372,783</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5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 CONVERTIBLE PREFERRED STOCK AND</w:t>
              <w:br/>
              <w:t>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195,456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72,873</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Times New Roman" w:hAnsi="Times New Roman"/>
          <w:sz w:val="30"/>
        </w:rPr>
      </w:pPr>
      <w:r>
        <w:rPr>
          <w:rFonts w:ascii="Times New Roman" w:hAnsi="Times New Roman"/>
          <w:b/>
          <w:color w:val="000000"/>
          <w:sz w:val="30"/>
        </w:rPr>
        <w:t>APNIMED, INC. AND SUBSIDIARY</w:t>
      </w:r>
      <w:r>
        <w:rPr>
          <w:rFonts w:ascii="Times New Roman" w:hAnsi="Times New Roman"/>
          <w:color w:val="000000"/>
          <w:sz w:val="30"/>
        </w:rPr>
        <w:t xml:space="preserve"> </w:t>
      </w:r>
    </w:p>
    <w:p>
      <w:pPr>
        <w:pStyle w:val="TextBody"/>
        <w:bidi w:val="0"/>
        <w:jc w:val="left"/>
        <w:rPr>
          <w:rFonts w:ascii="Times New Roman" w:hAnsi="Times New Roman"/>
          <w:b/>
          <w:color w:val="000000"/>
          <w:sz w:val="24"/>
        </w:rPr>
      </w:pPr>
      <w:r>
        <w:rPr>
          <w:rFonts w:ascii="Times New Roman" w:hAnsi="Times New Roman"/>
          <w:b/>
          <w:color w:val="000000"/>
          <w:sz w:val="24"/>
        </w:rPr>
        <w:t>CONDENSED CONSOLIDATED STATEMENTS OF OPERATIONS (unaudited)</w:t>
      </w:r>
    </w:p>
    <w:p>
      <w:pPr>
        <w:pStyle w:val="TextBody"/>
        <w:pBdr>
          <w:bottom w:val="single" w:sz="4" w:space="1" w:color="000000"/>
        </w:pBdr>
        <w:bidi w:val="0"/>
        <w:jc w:val="left"/>
        <w:rPr>
          <w:rFonts w:ascii="Times New Roman" w:hAnsi="Times New Roman"/>
          <w:b/>
          <w:color w:val="000000"/>
          <w:sz w:val="24"/>
        </w:rPr>
      </w:pPr>
      <w:r>
        <w:rPr>
          <w:rFonts w:ascii="Times New Roman" w:hAnsi="Times New Roman"/>
          <w:b/>
          <w:color w:val="000000"/>
          <w:sz w:val="24"/>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54"/>
        <w:gridCol w:w="146"/>
        <w:gridCol w:w="211"/>
        <w:gridCol w:w="1036"/>
        <w:gridCol w:w="166"/>
        <w:gridCol w:w="146"/>
        <w:gridCol w:w="211"/>
        <w:gridCol w:w="931"/>
        <w:gridCol w:w="166"/>
        <w:gridCol w:w="146"/>
        <w:gridCol w:w="211"/>
        <w:gridCol w:w="1036"/>
        <w:gridCol w:w="166"/>
        <w:gridCol w:w="146"/>
        <w:gridCol w:w="211"/>
        <w:gridCol w:w="931"/>
        <w:gridCol w:w="591"/>
      </w:tblGrid>
      <w:tr>
        <w:trPr/>
        <w:tc>
          <w:tcPr>
            <w:tcW w:w="3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39,425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services -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53,289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(33,048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sale of 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reversal of deposit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revenue interest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convertible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FROM CONTINUING OPERATIONS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196,486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(32,308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(65,812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(98,120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of Class A, Class B and Class C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of Class A, Class B and Class C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4,797,152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4,754,020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4,795,472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4,751,347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32,353,048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4,754,020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32,173,441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4,751,347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3082</Words>
  <Characters>16971</Characters>
  <CharactersWithSpaces>20369</CharactersWithSpaces>
  <Paragraphs>1074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