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Sender Gary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APNIMED,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39 JOHN F. KENNEDY STREET, 4TH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CAMBRIDGE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02138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Apnimed, Inc.</w:t>
              </w:r>
            </w:hyperlink>
            <w:r>
              <w:rPr/>
              <w:t xml:space="preserve"> [ </w:t>
            </w:r>
            <w:r>
              <w:rPr>
                <w:rFonts w:ascii="Times;serif" w:hAnsi="Times;serif"/>
                <w:color w:val="0000FF"/>
                <w:sz w:val="24"/>
                <w:shd w:fill="FFFFFF" w:val="clear"/>
              </w:rPr>
              <w:t>APMD</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07/30/2026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46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711"/>
        <w:gridCol w:w="906"/>
        <w:gridCol w:w="801"/>
        <w:gridCol w:w="891"/>
        <w:gridCol w:w="801"/>
        <w:gridCol w:w="801"/>
        <w:gridCol w:w="936"/>
        <w:gridCol w:w="831"/>
        <w:gridCol w:w="846"/>
      </w:tblGrid>
      <w:tr>
        <w:trPr>
          <w:tblHeader w:val="true"/>
        </w:trPr>
        <w:tc>
          <w:tcPr>
            <w:tcW w:w="1246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42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9.5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D</w:t>
            </w:r>
            <w:r>
              <w:rPr>
                <w:rFonts w:ascii="Times;serif" w:hAnsi="Times;serif"/>
                <w:color w:val="008000"/>
                <w:position w:val="7"/>
                <w:sz w:val="16"/>
                <w:sz w:val="20"/>
                <w:shd w:fill="FFFFFF" w:val="clear"/>
              </w:rPr>
              <w:t>(1)</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51,890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12/12/2034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51,890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9.5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51,890</w:t>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12/12/2034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51,890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51,890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8.15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D</w:t>
            </w:r>
            <w:r>
              <w:rPr>
                <w:rFonts w:ascii="Times;serif" w:hAnsi="Times;serif"/>
                <w:color w:val="008000"/>
                <w:position w:val="7"/>
                <w:sz w:val="16"/>
                <w:sz w:val="20"/>
                <w:shd w:fill="FFFFFF" w:val="clear"/>
              </w:rPr>
              <w:t>(1)</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44,477</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07/07/2036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44,477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8.15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44,477</w:t>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07/07/2036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44,477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44,477</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07/30/2026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44,477</w:t>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07/29/2036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44,477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44,477</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D</w:t>
            </w:r>
            <w:r>
              <w:rPr>
                <w:rFonts w:ascii="Times;serif" w:hAnsi="Times;serif"/>
                <w:color w:val="008000"/>
                <w:position w:val="7"/>
                <w:sz w:val="16"/>
                <w:sz w:val="20"/>
                <w:shd w:fill="FFFFFF" w:val="clear"/>
              </w:rPr>
              <w:t>(1)</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44,477</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07/29/2036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44,477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44,477</w:t>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07/29/2036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44,477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44,477</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Pursuant to a reclassification exempt under Rule 16b-7 and Rule 16b-3, each share of Class A Common Stock was reclassified into one share of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25% of the shares subject to such option vest and become exercisable when the Reporting Person completes twelve months of continuous service after October 15, 2024, and the remainder of the shares vest and become exercisable in substantially equal quarterly installments for a period of 36 months thereafter, subject to the Reporting Person's continuous service to the Issuer on each such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25% of the shares subject to such option vest and become exercisable when the Reporting Person completes twelve months of continuous service after July 7, 2026, and the remainder of the shares vest and become exercisable in substantially equal quarterly installments for a period of 36 months thereafter, subject to the Reporting Person's continuous service to the Issuer on each such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shares subject to such option vest and become exercisable in substantially equal monthly installments for a period of 36 months after July 30, 2026, subject to the Reporting Person's continuous service to the Issuer on each such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/s/Kevin R. Lind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59085" TargetMode="External"/><Relationship Id="rId5" Type="http://schemas.openxmlformats.org/officeDocument/2006/relationships/hyperlink" Target="http://www.sec.gov/cgi-bin/browse-edgar?action=getcompany&amp;CIK=000174564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874</Words>
  <Characters>4626</Characters>
  <CharactersWithSpaces>5354</CharactersWithSpaces>
  <Paragraphs>174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