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pmd-20260908.htm"/>
      <w:bookmarkStart w:id="1" w:name="ksapmd20260908"/>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As filed with the Securities and Exchange Commission on September 8, 2026</w:t>
      </w:r>
    </w:p>
    <w:p>
      <w:pPr>
        <w:pStyle w:val="TextBody"/>
        <w:bidi w:val="0"/>
        <w:spacing w:before="100" w:after="283"/>
        <w:jc w:val="right"/>
        <w:rPr>
          <w:rFonts w:ascii="Times New Roman" w:hAnsi="Times New Roman"/>
          <w:b/>
          <w:color w:val="000000"/>
          <w:sz w:val="20"/>
        </w:rPr>
      </w:pPr>
      <w:r>
        <w:rPr>
          <w:rFonts w:ascii="Times New Roman" w:hAnsi="Times New Roman"/>
          <w:b/>
          <w:color w:val="000000"/>
          <w:sz w:val="20"/>
        </w:rPr>
        <w:t>Registration No. 333-</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FORM S-8</w:t>
      </w:r>
    </w:p>
    <w:p>
      <w:pPr>
        <w:pStyle w:val="TextBody"/>
        <w:bidi w:val="0"/>
        <w:jc w:val="center"/>
        <w:rPr>
          <w:rFonts w:ascii="Times New Roman" w:hAnsi="Times New Roman"/>
          <w:b/>
          <w:color w:val="000000"/>
          <w:sz w:val="32"/>
        </w:rPr>
      </w:pPr>
      <w:r>
        <w:rPr>
          <w:rFonts w:ascii="Times New Roman" w:hAnsi="Times New Roman"/>
          <w:b/>
          <w:color w:val="000000"/>
          <w:sz w:val="32"/>
        </w:rPr>
        <w:t>REGISTRATION STATEMENT</w:t>
      </w:r>
    </w:p>
    <w:p>
      <w:pPr>
        <w:pStyle w:val="TextBody"/>
        <w:bidi w:val="0"/>
        <w:jc w:val="center"/>
        <w:rPr>
          <w:rFonts w:ascii="Times New Roman" w:hAnsi="Times New Roman"/>
          <w:sz w:val="24"/>
        </w:rPr>
      </w:pPr>
      <w:r>
        <w:rPr>
          <w:rFonts w:ascii="Times New Roman" w:hAnsi="Times New Roman"/>
          <w:b/>
          <w:i/>
          <w:color w:val="000000"/>
          <w:sz w:val="24"/>
        </w:rPr>
        <w:t>UNDER</w:t>
      </w:r>
      <w:r>
        <w:rPr>
          <w:rFonts w:ascii="Times New Roman" w:hAnsi="Times New Roman"/>
          <w:color w:val="000000"/>
          <w:sz w:val="24"/>
        </w:rPr>
        <w:br/>
      </w:r>
      <w:r>
        <w:rPr>
          <w:rFonts w:ascii="Times New Roman" w:hAnsi="Times New Roman"/>
          <w:b/>
          <w:i/>
          <w:color w:val="000000"/>
          <w:sz w:val="24"/>
        </w:rPr>
        <w:t>THE SECURITIES ACT OF 1933</w:t>
      </w:r>
    </w:p>
    <w:p>
      <w:pPr>
        <w:pStyle w:val="TextBody"/>
        <w:bidi w:val="0"/>
        <w:spacing w:before="60" w:after="283"/>
        <w:jc w:val="center"/>
        <w:rPr>
          <w:rFonts w:ascii="Times New Roman" w:hAnsi="Times New Roman"/>
          <w:b/>
          <w:color w:val="000000"/>
          <w:sz w:val="44"/>
        </w:rPr>
      </w:pPr>
      <w:r>
        <w:rPr>
          <w:rFonts w:ascii="Times New Roman" w:hAnsi="Times New Roman"/>
          <w:b/>
          <w:color w:val="000000"/>
          <w:sz w:val="44"/>
        </w:rPr>
        <w:t>Apnimed, Inc.</w:t>
      </w:r>
    </w:p>
    <w:p>
      <w:pPr>
        <w:pStyle w:val="TextBody"/>
        <w:bidi w:val="0"/>
        <w:jc w:val="center"/>
        <w:rPr>
          <w:rFonts w:ascii="Times New Roman" w:hAnsi="Times New Roman"/>
          <w:b/>
          <w:color w:val="000000"/>
          <w:sz w:val="24"/>
        </w:rPr>
      </w:pPr>
      <w:r>
        <w:rPr>
          <w:rFonts w:ascii="Times New Roman" w:hAnsi="Times New Roman"/>
          <w:b/>
          <w:color w:val="000000"/>
          <w:sz w:val="24"/>
        </w:rPr>
        <w:t>(Exact name of registrant as specified in its charter)</w:t>
      </w:r>
    </w:p>
    <w:tbl>
      <w:tblPr>
        <w:tblW w:w="4596" w:type="dxa"/>
        <w:jc w:val="left"/>
        <w:tblInd w:w="0" w:type="dxa"/>
        <w:tblLayout w:type="fixed"/>
        <w:tblCellMar>
          <w:top w:w="28" w:type="dxa"/>
          <w:left w:w="28" w:type="dxa"/>
          <w:bottom w:w="28" w:type="dxa"/>
          <w:right w:w="28" w:type="dxa"/>
        </w:tblCellMar>
      </w:tblPr>
      <w:tblGrid>
        <w:gridCol w:w="3001"/>
        <w:gridCol w:w="109"/>
        <w:gridCol w:w="1486"/>
      </w:tblGrid>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82-1910611</w:t>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(State or other jurisdiction of </w:t>
              <w:b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3001"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39 John F. Kennedy Street, 4th Floor</w:t>
            </w:r>
            <w:r>
              <w:rPr>
                <w:rFonts w:ascii="Times New Roman" w:hAnsi="Times New Roman"/>
                <w:color w:val="000000"/>
                <w:sz w:val="16"/>
              </w:rPr>
              <w:t xml:space="preserve"> </w:t>
            </w:r>
          </w:p>
          <w:p>
            <w:pPr>
              <w:pStyle w:val="TableContents"/>
              <w:bidi w:val="0"/>
              <w:jc w:val="center"/>
              <w:rPr>
                <w:rFonts w:ascii="Times New Roman" w:hAnsi="Times New Roman"/>
                <w:sz w:val="16"/>
              </w:rPr>
            </w:pPr>
            <w:r>
              <w:rPr>
                <w:rFonts w:ascii="Times New Roman" w:hAnsi="Times New Roman"/>
                <w:b/>
                <w:color w:val="000000"/>
                <w:sz w:val="16"/>
              </w:rPr>
              <w:t>Cambridge, MA</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Principle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02138</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sz w:val="18"/>
        </w:rPr>
      </w:pPr>
      <w:r>
        <w:rPr>
          <w:rFonts w:ascii="Times New Roman" w:hAnsi="Times New Roman"/>
          <w:b/>
          <w:color w:val="000000"/>
          <w:sz w:val="18"/>
        </w:rPr>
        <w:t>Apnimed, Inc. 2026 Inducement Plan</w:t>
      </w:r>
      <w:r>
        <w:rPr>
          <w:rFonts w:ascii="Times New Roman" w:hAnsi="Times New Roman"/>
          <w:color w:val="000000"/>
          <w:sz w:val="18"/>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(Full title of the plan)</w:t>
      </w:r>
    </w:p>
    <w:p>
      <w:pPr>
        <w:pStyle w:val="TextBody"/>
        <w:bidi w:val="0"/>
        <w:jc w:val="center"/>
        <w:rPr>
          <w:rFonts w:ascii="Times New Roman" w:hAnsi="Times New Roman"/>
          <w:b/>
          <w:color w:val="000000"/>
          <w:sz w:val="18"/>
        </w:rPr>
      </w:pPr>
      <w:r>
        <w:rPr>
          <w:rFonts w:ascii="Times New Roman" w:hAnsi="Times New Roman"/>
          <w:b/>
          <w:color w:val="000000"/>
          <w:sz w:val="18"/>
        </w:rPr>
        <w:t>Kevin Lind</w:t>
      </w:r>
    </w:p>
    <w:p>
      <w:pPr>
        <w:pStyle w:val="TextBody"/>
        <w:bidi w:val="0"/>
        <w:jc w:val="center"/>
        <w:rPr>
          <w:rFonts w:ascii="Times New Roman" w:hAnsi="Times New Roman"/>
          <w:sz w:val="18"/>
        </w:rPr>
      </w:pPr>
      <w:r>
        <w:rPr>
          <w:rFonts w:ascii="Times New Roman" w:hAnsi="Times New Roman"/>
          <w:b/>
          <w:color w:val="000000"/>
          <w:sz w:val="18"/>
        </w:rPr>
        <w:t>39 John F. Kennedy Street, 4th Floor</w:t>
      </w:r>
      <w:r>
        <w:rPr>
          <w:rFonts w:ascii="Times New Roman" w:hAnsi="Times New Roman"/>
          <w:color w:val="000000"/>
          <w:sz w:val="18"/>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Cambridge, MA 02138</w:t>
      </w:r>
    </w:p>
    <w:p>
      <w:pPr>
        <w:pStyle w:val="TextBody"/>
        <w:bidi w:val="0"/>
        <w:jc w:val="center"/>
        <w:rPr>
          <w:rFonts w:ascii="Times New Roman" w:hAnsi="Times New Roman"/>
          <w:b/>
          <w:color w:val="000000"/>
          <w:sz w:val="18"/>
        </w:rPr>
      </w:pPr>
      <w:r>
        <w:rPr>
          <w:rFonts w:ascii="Times New Roman" w:hAnsi="Times New Roman"/>
          <w:b/>
          <w:color w:val="000000"/>
          <w:sz w:val="18"/>
        </w:rPr>
        <w:t>(Name and address for agent for service)</w:t>
      </w:r>
    </w:p>
    <w:p>
      <w:pPr>
        <w:pStyle w:val="TextBody"/>
        <w:bidi w:val="0"/>
        <w:jc w:val="center"/>
        <w:rPr>
          <w:rFonts w:ascii="Times New Roman" w:hAnsi="Times New Roman"/>
          <w:b/>
          <w:color w:val="000000"/>
          <w:sz w:val="18"/>
        </w:rPr>
      </w:pPr>
      <w:r>
        <w:rPr>
          <w:rFonts w:ascii="Times New Roman" w:hAnsi="Times New Roman"/>
          <w:b/>
          <w:color w:val="000000"/>
          <w:sz w:val="18"/>
        </w:rPr>
        <w:t>(617) 500-8880</w:t>
        <w:br/>
        <w:t>(Telephone number, including area code, of agent for service)</w:t>
      </w:r>
    </w:p>
    <w:p>
      <w:pPr>
        <w:pStyle w:val="TextBody"/>
        <w:bidi w:val="0"/>
        <w:jc w:val="center"/>
        <w:rPr>
          <w:rFonts w:ascii="Times New Roman" w:hAnsi="Times New Roman"/>
          <w:sz w:val="18"/>
        </w:rPr>
      </w:pPr>
      <w:r>
        <w:rPr>
          <w:rFonts w:ascii="Times New Roman" w:hAnsi="Times New Roman"/>
          <w:b/>
          <w:i/>
          <w:color w:val="000000"/>
          <w:sz w:val="18"/>
        </w:rPr>
        <w:t>Copies to:</w:t>
        <w:br/>
      </w:r>
      <w:r>
        <w:rPr>
          <w:rFonts w:ascii="Times New Roman" w:hAnsi="Times New Roman"/>
          <w:b/>
          <w:color w:val="000000"/>
          <w:sz w:val="18"/>
        </w:rPr>
        <w:t>Rachael M. Bushey</w:t>
      </w:r>
    </w:p>
    <w:p>
      <w:pPr>
        <w:pStyle w:val="TextBody"/>
        <w:bidi w:val="0"/>
        <w:jc w:val="center"/>
        <w:rPr>
          <w:rFonts w:ascii="Times New Roman" w:hAnsi="Times New Roman"/>
          <w:b/>
          <w:color w:val="000000"/>
          <w:sz w:val="18"/>
        </w:rPr>
      </w:pPr>
      <w:r>
        <w:rPr>
          <w:rFonts w:ascii="Times New Roman" w:hAnsi="Times New Roman"/>
          <w:b/>
          <w:color w:val="000000"/>
          <w:sz w:val="18"/>
        </w:rPr>
        <w:t>Justin Platt</w:t>
      </w:r>
    </w:p>
    <w:p>
      <w:pPr>
        <w:pStyle w:val="TextBody"/>
        <w:bidi w:val="0"/>
        <w:jc w:val="center"/>
        <w:rPr>
          <w:rFonts w:ascii="Times New Roman" w:hAnsi="Times New Roman"/>
          <w:b/>
          <w:color w:val="000000"/>
          <w:sz w:val="18"/>
        </w:rPr>
      </w:pPr>
      <w:r>
        <w:rPr>
          <w:rFonts w:ascii="Times New Roman" w:hAnsi="Times New Roman"/>
          <w:b/>
          <w:color w:val="000000"/>
          <w:sz w:val="18"/>
        </w:rPr>
        <w:t>Goodwin Procter LLP</w:t>
      </w:r>
    </w:p>
    <w:p>
      <w:pPr>
        <w:pStyle w:val="TextBody"/>
        <w:bidi w:val="0"/>
        <w:jc w:val="center"/>
        <w:rPr>
          <w:rFonts w:ascii="Times New Roman" w:hAnsi="Times New Roman"/>
          <w:b/>
          <w:color w:val="000000"/>
          <w:sz w:val="18"/>
        </w:rPr>
      </w:pPr>
      <w:r>
        <w:rPr>
          <w:rFonts w:ascii="Times New Roman" w:hAnsi="Times New Roman"/>
          <w:b/>
          <w:color w:val="000000"/>
          <w:sz w:val="18"/>
        </w:rPr>
        <w:t>3025 John F Kennedy Blvd,</w:t>
      </w:r>
    </w:p>
    <w:p>
      <w:pPr>
        <w:pStyle w:val="TextBody"/>
        <w:bidi w:val="0"/>
        <w:jc w:val="center"/>
        <w:rPr>
          <w:rFonts w:ascii="Times New Roman" w:hAnsi="Times New Roman"/>
          <w:b/>
          <w:color w:val="000000"/>
          <w:sz w:val="18"/>
        </w:rPr>
      </w:pPr>
      <w:r>
        <w:rPr>
          <w:rFonts w:ascii="Times New Roman" w:hAnsi="Times New Roman"/>
          <w:b/>
          <w:color w:val="000000"/>
          <w:sz w:val="18"/>
        </w:rPr>
        <w:t>Philadelphia, PA 19104</w:t>
      </w:r>
    </w:p>
    <w:p>
      <w:pPr>
        <w:pStyle w:val="TextBody"/>
        <w:bidi w:val="0"/>
        <w:jc w:val="center"/>
        <w:rPr>
          <w:rFonts w:ascii="Times New Roman" w:hAnsi="Times New Roman"/>
          <w:b/>
          <w:color w:val="000000"/>
          <w:sz w:val="18"/>
        </w:rPr>
      </w:pPr>
      <w:r>
        <w:rPr>
          <w:rFonts w:ascii="Times New Roman" w:hAnsi="Times New Roman"/>
          <w:b/>
          <w:color w:val="000000"/>
          <w:sz w:val="18"/>
        </w:rPr>
        <w:t>(445) 207-7800</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r>
    </w:tbl>
    <w:p>
      <w:pPr>
        <w:pStyle w:val="TextBody"/>
        <w:bidi w:val="0"/>
        <w:spacing w:before="6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Registration Statement on Form S-8 (this “Registration Statement”) is filed by Apnimed, Inc. (the “Registrant”) for the purpose of registering 2,500,000 shares of common stock, par value $0.00001 per share (the “Common Stock”), reserved and available for issuance under the Registrant’s 2026 Inducement Plan (the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21, 2026, the Board of Directors of the Registrant (the “Board”) adopted the Plan. The Plan was adopted without stockholder approval pursuant to Nasdaq Listing Rule 5635(c)(4) and will be administered by the Compensation Committee of the Board.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only persons eligible to receive grants of Awards (as defined below) under the Plan are individuals who satisfy the standards for inducement grants under Nasdaq Listing Rule 5635(c)(4). An “Award” means any right to receive the Registrant’s Common Stock or cash granted under the Plan (including stock options, restricted stock awards, restricted stock unit awards, stock appreciation rights or other stock-based awards).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information specified in Item 1 and Item 2 of Part I of Form S-8 is omitted from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3. Incorporation of Documents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 hereby incorporates by reference into this Registration Statement the following documents filed with the Securities and Exchange Commission (the “Commission”):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pPr>
      <w:hyperlink r:id="rId2">
        <w:r>
          <w:rPr>
            <w:rStyle w:val="InternetLink"/>
            <w:rFonts w:ascii="Times New Roman" w:hAnsi="Times New Roman"/>
            <w:color w:val="0000FF"/>
            <w:sz w:val="20"/>
            <w:u w:val="single"/>
          </w:rPr>
          <w:t>Amendment No. 1 to the registrant’s Registration Statement on Form S-1 (File No. 333-297377)</w:t>
        </w:r>
      </w:hyperlink>
      <w:r>
        <w:rPr>
          <w:rFonts w:ascii="Times New Roman" w:hAnsi="Times New Roman"/>
          <w:color w:val="000000"/>
          <w:sz w:val="20"/>
        </w:rPr>
        <w:t xml:space="preserve"> filed with the Commission on July 27, 2026, which contains the registrant’s audited financial statements for the latest fiscal year for which such statements have been filed;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color w:val="000000"/>
          <w:sz w:val="20"/>
        </w:rPr>
        <w:t xml:space="preserve">The </w:t>
      </w:r>
      <w:hyperlink r:id="rId3">
        <w:r>
          <w:rPr>
            <w:rStyle w:val="InternetLink"/>
            <w:rFonts w:ascii="Times New Roman" w:hAnsi="Times New Roman"/>
            <w:color w:val="0000FF"/>
            <w:sz w:val="20"/>
            <w:u w:val="single"/>
          </w:rPr>
          <w:t>prospectus filed by the registrant with the Commission pursuant to Rule 424(b)</w:t>
        </w:r>
      </w:hyperlink>
      <w:r>
        <w:rPr>
          <w:rFonts w:ascii="Times New Roman" w:hAnsi="Times New Roman"/>
          <w:color w:val="000000"/>
          <w:sz w:val="20"/>
        </w:rPr>
        <w:t xml:space="preserve"> under the Securities Act on July 31, 2026, relating to the Registration Statement on Form S-1, as amended (File No. 333-297377);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pPr>
      <w:r>
        <w:rPr>
          <w:rFonts w:ascii="Times New Roman" w:hAnsi="Times New Roman"/>
          <w:color w:val="000000"/>
          <w:sz w:val="20"/>
        </w:rPr>
        <w:t xml:space="preserve">The Registrant’s </w:t>
      </w:r>
      <w:hyperlink r:id="rId4">
        <w:r>
          <w:rPr>
            <w:rStyle w:val="InternetLink"/>
            <w:rFonts w:ascii="Times New Roman" w:hAnsi="Times New Roman"/>
            <w:color w:val="0000FF"/>
            <w:sz w:val="20"/>
            <w:u w:val="single"/>
          </w:rPr>
          <w:t>Current Report on Form 8-K</w:t>
        </w:r>
      </w:hyperlink>
      <w:r>
        <w:rPr>
          <w:rFonts w:ascii="Times New Roman" w:hAnsi="Times New Roman"/>
          <w:color w:val="000000"/>
          <w:sz w:val="20"/>
        </w:rPr>
        <w:t>, filed with the Commission on August 3, 2026;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pPr>
      <w:r>
        <w:rPr>
          <w:rFonts w:ascii="Times New Roman" w:hAnsi="Times New Roman"/>
          <w:color w:val="000000"/>
          <w:sz w:val="20"/>
        </w:rPr>
        <w:t xml:space="preserve">The description of the registrant’s common stock, par value $0.00001 per share (the “Common Stock”) contained in the registrant’s </w:t>
      </w:r>
      <w:hyperlink r:id="rId5">
        <w:r>
          <w:rPr>
            <w:rStyle w:val="InternetLink"/>
            <w:rFonts w:ascii="Times New Roman" w:hAnsi="Times New Roman"/>
            <w:color w:val="0000FF"/>
            <w:sz w:val="20"/>
            <w:u w:val="single"/>
          </w:rPr>
          <w:t>Registration Statement on Form 8-A (File No. 001-43422)</w:t>
        </w:r>
      </w:hyperlink>
      <w:r>
        <w:rPr>
          <w:rFonts w:ascii="Times New Roman" w:hAnsi="Times New Roman"/>
          <w:color w:val="000000"/>
          <w:sz w:val="20"/>
        </w:rPr>
        <w:t>, filed by the registrant with the Commission under Section 12(b) of the Securities Exchange Act of 1934, as amended (the “Exchange Act”), on July 29, 2026, including any amendments or reports filed for the purpose of updating such description.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no circumstances will any information filed under current items 2.02 or 7.01 of Form 8-K be deemed incorporated herein by reference unless such Form 8-K expressly provides to the contrary.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4. Description of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5. Interests of Named Experts and Counsel.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6. Indemnification of Directors and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 has adopted provisions in its Ninth Amended and Restated Certificate of Incorporation and Second Amended and Restated Bylaws (the “Bylaws”) that limit or eliminate the personal liability of the registrant’s directors and officers to the fullest extent permitted by the DGCL, as it now exists or may in the future be amended. Consequently, the registrant’s directors and officers will not be personally liable to the registrant or its stockholders for monetary damages or breach of fiduciary duty as directors or officers, except for liability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breach of a director or officer’s duty of loyalty to the registrant or its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transaction from which the director or officer derived an improper personal benefit;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arising under Section 174 of the DGCL for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arising from any claim brought by or in the right of the registrant for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limitations of liability do not alter director and officer liability under the federal securities laws and do not affect the availability of equitable remedies such as an injunction or rescission.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Bylaws provide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 will indemnify its directors, officers and, in the discretion of its board of directors, certain employees to the fullest extent permitted by the DGCL, as it now exists or may in the future be amended;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 will advance expenses, including attorneys’ fees, to its directors and, at the discretion of its board of directors, to officers and certain employees, in connection with legal proceedings relating to their service for or on behalf of the registrant, subject to limited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 has entered into an indemnification agreement with each of its directors and officers. These agreements provide that the registrant will indemnify each of its directors, its officers and, at times, their affiliates to the fullest extent permitted by the DGCL. The registrant will advance expenses, including attorneys’ fees (but excluding judgments, fines and settlement amounts), to each indemnified director, officer or affiliate in connection with any proceeding in which indemnification is available and the registrant will indemnify its directors and officers for any action or proceeding arising out of that person’s services as a director or officer brought on behalf of the registrant or in furtherance of the registrant’s rights. Additionally, certain of the registrant’s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referenced herein. Nonetheless, the registrant has agreed in the indemnification agreements that its obligations to those same directors or officers are primary and any obligation of such affiliates or other third parties to advance expenses or to provide indemnification for the expenses or liabilities incurred by those directors are secondary.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 also maintains general liability insurance which covers certain liabilities of its directors and officers arising out of claims based on acts or omissions in their capacities as directors or officers, including liabilities under the Securities Act.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7. Exemption from Registration Claimed.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8. Exhibits.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Ninth Amended and Restated Certificate of Incorporation (incorporated by reference to Exhibit 3.1 to the Registrant’s Current Report on Form 8-K (File No. 001-43422) filed with the Securities and Exchange Commission on August 3,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Second Amended and Restated Bylaws (incorporated by reference to Exhibit 3.2 to the Registrant’s Current Report on Form 8-K (File No. 001-43422) filed with the Securities and Exchange Commission on August 3,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Sixth Amended and Restated Investors’ Rights Agreement, by and among the Registrant and each of the investors listed on Schedule A thereto, dated March 11, 2026 (incorporated by reference to Exhibit 4.3 to the Registrant’s Registration Statement on Form S-1 (File No. 333-297377) filed with the Securities and Exchange Commission on July 10,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pmd-ex5_1.htm">
              <w:r>
                <w:rPr>
                  <w:rStyle w:val="InternetLink"/>
                  <w:rFonts w:ascii="Times New Roman" w:hAnsi="Times New Roman"/>
                  <w:color w:val="0000FF"/>
                  <w:sz w:val="20"/>
                  <w:u w:val="single"/>
                </w:rPr>
                <w:t>Opinion of Goodwin Procter LLP.</w:t>
              </w:r>
            </w:hyperlink>
            <w:hyperlink w:anchor="apmd-ex5_1.htm">
              <w:r>
                <w:rPr>
                  <w:rStyle w:val="InternetLink"/>
                  <w:rFonts w:ascii="Times New Roman" w:hAnsi="Times New Roman"/>
                  <w:color w:val="0000FF"/>
                  <w:sz w:val="20"/>
                </w:rPr>
                <w:t xml:space="preserve"> </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pmd-ex23_1.htm">
              <w:r>
                <w:rPr>
                  <w:rStyle w:val="InternetLink"/>
                  <w:rFonts w:ascii="Times New Roman" w:hAnsi="Times New Roman"/>
                  <w:color w:val="0000FF"/>
                  <w:sz w:val="20"/>
                  <w:u w:val="single"/>
                </w:rPr>
                <w:t>Consent of Deloitte &amp; Touche LLP, independent registered public accounting firm.</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pmd-ex5_1.htm">
              <w:r>
                <w:rPr>
                  <w:rStyle w:val="InternetLink"/>
                  <w:rFonts w:ascii="Times New Roman" w:hAnsi="Times New Roman"/>
                  <w:color w:val="0000FF"/>
                  <w:sz w:val="20"/>
                  <w:u w:val="single"/>
                </w:rPr>
                <w:t>Consent of Goodwin Procter LLP (included in Exhibit 5.1).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on signature page).</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pmd-ex99_1.htm">
              <w:r>
                <w:rPr>
                  <w:rStyle w:val="InternetLink"/>
                  <w:rFonts w:ascii="Times New Roman" w:hAnsi="Times New Roman"/>
                  <w:color w:val="0000FF"/>
                  <w:sz w:val="20"/>
                  <w:u w:val="single"/>
                </w:rPr>
                <w:t>Apnimed, Inc. 2026 Inducement Plan.</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pmd-ex99_2.htm">
              <w:r>
                <w:rPr>
                  <w:rStyle w:val="InternetLink"/>
                  <w:rFonts w:ascii="Times New Roman" w:hAnsi="Times New Roman"/>
                  <w:color w:val="0000FF"/>
                  <w:sz w:val="20"/>
                  <w:u w:val="single"/>
                </w:rPr>
                <w:t>Form of Non-Qualified Stock Option Agreement under the Apnimed, Inc. 2026 Inducement Plan.</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pmd-ex99_3.htm">
              <w:r>
                <w:rPr>
                  <w:rStyle w:val="InternetLink"/>
                  <w:rFonts w:ascii="Times New Roman" w:hAnsi="Times New Roman"/>
                  <w:color w:val="0000FF"/>
                  <w:sz w:val="20"/>
                  <w:u w:val="single"/>
                </w:rPr>
                <w:t>Form of Restricted Stock Unit Award Agreement under the Apnimed, Inc. 2026 Inducement Plan.</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pmd-exfiling_fees.htm">
              <w:r>
                <w:rPr>
                  <w:rStyle w:val="InternetLink"/>
                  <w:rFonts w:ascii="Times New Roman" w:hAnsi="Times New Roman"/>
                  <w:color w:val="0000FF"/>
                  <w:sz w:val="20"/>
                  <w:u w:val="single"/>
                </w:rPr>
                <w:t>Filing Fee Table.</w:t>
              </w:r>
            </w:hyperlink>
            <w:hyperlink w:anchor="apmd-exfiling_fees.htm">
              <w:r>
                <w:rPr>
                  <w:rStyle w:val="InternetLink"/>
                  <w:rFonts w:ascii="Times New Roman" w:hAnsi="Times New Roman"/>
                  <w:color w:val="0000FF"/>
                  <w:sz w:val="20"/>
                </w:rPr>
                <w:t xml:space="preserve"> </w:t>
              </w:r>
            </w:hyperlink>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 Undertakings.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 registrant hereby undertakes: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To include any prospectus required by Section 10(a)(3) of the Securities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120" w:after="283"/>
        <w:jc w:val="left"/>
        <w:rPr>
          <w:rFonts w:ascii="Times New Roman" w:hAnsi="Times New Roman"/>
          <w:sz w:val="20"/>
        </w:rPr>
      </w:pPr>
      <w:r>
        <w:rPr>
          <w:rFonts w:ascii="Times New Roman" w:hAnsi="Times New Roman"/>
          <w:i/>
          <w:color w:val="000000"/>
          <w:sz w:val="20"/>
        </w:rPr>
        <w:t>provided, however</w:t>
      </w:r>
      <w:r>
        <w:rPr>
          <w:rFonts w:ascii="Times New Roman" w:hAnsi="Times New Roman"/>
          <w:color w:val="000000"/>
          <w:sz w:val="20"/>
        </w:rPr>
        <w:t>, that paragraphs (a)(1)(i) and (a)(1)(ii) herein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(15 U.S.C. 78m or 78o(d)) that are incorporated by reference in the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Massachusetts, on this 8th day of September, 2026.</w:t>
      </w:r>
    </w:p>
    <w:tbl>
      <w:tblPr>
        <w:tblW w:w="3096" w:type="dxa"/>
        <w:jc w:val="left"/>
        <w:tblInd w:w="0" w:type="dxa"/>
        <w:tblLayout w:type="fixed"/>
        <w:tblCellMar>
          <w:top w:w="28" w:type="dxa"/>
          <w:left w:w="28" w:type="dxa"/>
          <w:bottom w:w="28" w:type="dxa"/>
          <w:right w:w="28" w:type="dxa"/>
        </w:tblCellMar>
      </w:tblPr>
      <w:tblGrid>
        <w:gridCol w:w="421"/>
        <w:gridCol w:w="109"/>
        <w:gridCol w:w="2566"/>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309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APNIMED,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Kevin R. Lind</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Kevin R. Lind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0" w:after="120"/>
        <w:jc w:val="center"/>
        <w:rPr>
          <w:rFonts w:ascii="Times New Roman" w:hAnsi="Times New Roman"/>
          <w:b/>
          <w:color w:val="000000"/>
          <w:sz w:val="20"/>
        </w:rPr>
      </w:pPr>
      <w:bookmarkStart w:id="2" w:name="power_of_attorney"/>
      <w:bookmarkEnd w:id="2"/>
      <w:r>
        <w:rPr>
          <w:rFonts w:ascii="Times New Roman" w:hAnsi="Times New Roman"/>
          <w:b/>
          <w:color w:val="000000"/>
          <w:sz w:val="20"/>
        </w:rPr>
        <w:t>POWER OF ATTORNEY AND SIGNATURES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Each individual whose signature appears below hereby constitutes and appoints each of Kevin R. Lind and Michael Kelly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by the following persons in the capacities and on the date indicated.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37"/>
        <w:gridCol w:w="109"/>
        <w:gridCol w:w="6189"/>
        <w:gridCol w:w="109"/>
        <w:gridCol w:w="1561"/>
      </w:tblGrid>
      <w:tr>
        <w:trPr/>
        <w:tc>
          <w:tcPr>
            <w:tcW w:w="2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8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Kevin R. Lind</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89" w:type="dxa"/>
            <w:vMerge w:val="restart"/>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8, 2026</w:t>
            </w:r>
          </w:p>
        </w:tc>
      </w:tr>
      <w:tr>
        <w:trPr/>
        <w:tc>
          <w:tcPr>
            <w:tcW w:w="22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R. Lind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vMerge w:val="continue"/>
            <w:tcBorders/>
            <w:tcMar>
              <w:top w:w="0" w:type="dxa"/>
              <w:left w:w="0" w:type="dxa"/>
              <w:bottom w:w="0" w:type="dxa"/>
              <w:right w:w="0" w:type="dxa"/>
            </w:tcMar>
            <w:vAlign w:val="center"/>
          </w:tcPr>
          <w:p>
            <w:pPr>
              <w:pStyle w:val="Normal"/>
              <w:bidi w:val="0"/>
              <w:jc w:val="left"/>
              <w:rPr/>
            </w:pPr>
            <w:r>
              <w:rPr/>
            </w:r>
          </w:p>
        </w:tc>
      </w:tr>
      <w:tr>
        <w:trPr/>
        <w:tc>
          <w:tcPr>
            <w:tcW w:w="2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Kelly</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89"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Chief Financial Officer (</w:t>
            </w:r>
            <w:r>
              <w:rPr>
                <w:rFonts w:ascii="Times New Roman" w:hAnsi="Times New Roman"/>
                <w:i/>
                <w:color w:val="000000"/>
                <w:sz w:val="20"/>
              </w:rPr>
              <w:t>Principal Financial Officer and Principal Accounting Officer</w:t>
            </w: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8, 2026</w:t>
            </w:r>
          </w:p>
        </w:tc>
      </w:tr>
      <w:tr>
        <w:trPr/>
        <w:tc>
          <w:tcPr>
            <w:tcW w:w="22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Kelly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vMerge w:val="continue"/>
            <w:tcBorders/>
            <w:tcMar>
              <w:top w:w="0" w:type="dxa"/>
              <w:left w:w="0" w:type="dxa"/>
              <w:bottom w:w="0" w:type="dxa"/>
              <w:right w:w="0" w:type="dxa"/>
            </w:tcMar>
            <w:vAlign w:val="center"/>
          </w:tcPr>
          <w:p>
            <w:pPr>
              <w:pStyle w:val="Normal"/>
              <w:bidi w:val="0"/>
              <w:jc w:val="left"/>
              <w:rPr/>
            </w:pPr>
            <w:r>
              <w:rPr/>
            </w:r>
          </w:p>
        </w:tc>
      </w:tr>
      <w:tr>
        <w:trPr/>
        <w:tc>
          <w:tcPr>
            <w:tcW w:w="2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Sekhri</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89"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Director, Board Chair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8, 2026</w:t>
            </w:r>
          </w:p>
        </w:tc>
      </w:tr>
      <w:tr>
        <w:trPr/>
        <w:tc>
          <w:tcPr>
            <w:tcW w:w="22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Sekhri</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vMerge w:val="continue"/>
            <w:tcBorders/>
            <w:tcMar>
              <w:top w:w="0" w:type="dxa"/>
              <w:left w:w="0" w:type="dxa"/>
              <w:bottom w:w="0" w:type="dxa"/>
              <w:right w:w="0" w:type="dxa"/>
            </w:tcMar>
            <w:vAlign w:val="center"/>
          </w:tcPr>
          <w:p>
            <w:pPr>
              <w:pStyle w:val="Normal"/>
              <w:bidi w:val="0"/>
              <w:jc w:val="left"/>
              <w:rPr/>
            </w:pPr>
            <w:r>
              <w:rPr/>
            </w:r>
          </w:p>
        </w:tc>
      </w:tr>
      <w:tr>
        <w:trPr/>
        <w:tc>
          <w:tcPr>
            <w:tcW w:w="2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Lawrence G. Miller, M.D.</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89"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 Vice Chair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8, 2026</w:t>
            </w:r>
          </w:p>
        </w:tc>
      </w:tr>
      <w:tr>
        <w:trPr/>
        <w:tc>
          <w:tcPr>
            <w:tcW w:w="22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Lawrence G. Miller, M.D.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vMerge w:val="continue"/>
            <w:tcBorders/>
            <w:tcMar>
              <w:top w:w="0" w:type="dxa"/>
              <w:left w:w="0" w:type="dxa"/>
              <w:bottom w:w="0" w:type="dxa"/>
              <w:right w:w="0" w:type="dxa"/>
            </w:tcMar>
            <w:vAlign w:val="center"/>
          </w:tcPr>
          <w:p>
            <w:pPr>
              <w:pStyle w:val="Normal"/>
              <w:bidi w:val="0"/>
              <w:jc w:val="left"/>
              <w:rPr/>
            </w:pPr>
            <w:r>
              <w:rPr/>
            </w:r>
          </w:p>
        </w:tc>
      </w:tr>
      <w:tr>
        <w:trPr/>
        <w:tc>
          <w:tcPr>
            <w:tcW w:w="2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 Dimitropoulos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89"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8, 2026</w:t>
            </w:r>
          </w:p>
        </w:tc>
      </w:tr>
      <w:tr>
        <w:trPr/>
        <w:tc>
          <w:tcPr>
            <w:tcW w:w="22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 Dimitropoulos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vMerge w:val="continue"/>
            <w:tcBorders/>
            <w:tcMar>
              <w:top w:w="0" w:type="dxa"/>
              <w:left w:w="0" w:type="dxa"/>
              <w:bottom w:w="0" w:type="dxa"/>
              <w:right w:w="0" w:type="dxa"/>
            </w:tcMar>
            <w:vAlign w:val="center"/>
          </w:tcPr>
          <w:p>
            <w:pPr>
              <w:pStyle w:val="Normal"/>
              <w:bidi w:val="0"/>
              <w:jc w:val="left"/>
              <w:rPr/>
            </w:pPr>
            <w:r>
              <w:rPr/>
            </w:r>
          </w:p>
        </w:tc>
      </w:tr>
      <w:tr>
        <w:trPr/>
        <w:tc>
          <w:tcPr>
            <w:tcW w:w="2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(BJ) Jones, Jr.</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89"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8, 2026</w:t>
            </w:r>
          </w:p>
        </w:tc>
      </w:tr>
      <w:tr>
        <w:trPr/>
        <w:tc>
          <w:tcPr>
            <w:tcW w:w="22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(BJ) Jones, Jr.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vMerge w:val="continue"/>
            <w:tcBorders/>
            <w:tcMar>
              <w:top w:w="0" w:type="dxa"/>
              <w:left w:w="0" w:type="dxa"/>
              <w:bottom w:w="0" w:type="dxa"/>
              <w:right w:w="0" w:type="dxa"/>
            </w:tcMar>
            <w:vAlign w:val="center"/>
          </w:tcPr>
          <w:p>
            <w:pPr>
              <w:pStyle w:val="Normal"/>
              <w:bidi w:val="0"/>
              <w:jc w:val="left"/>
              <w:rPr/>
            </w:pPr>
            <w:r>
              <w:rPr/>
            </w:r>
          </w:p>
        </w:tc>
      </w:tr>
      <w:tr>
        <w:trPr/>
        <w:tc>
          <w:tcPr>
            <w:tcW w:w="2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Fonteyne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89"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8, 2026</w:t>
            </w:r>
          </w:p>
        </w:tc>
      </w:tr>
      <w:tr>
        <w:trPr/>
        <w:tc>
          <w:tcPr>
            <w:tcW w:w="22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Fonteyne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vMerge w:val="continue"/>
            <w:tcBorders/>
            <w:tcMar>
              <w:top w:w="0" w:type="dxa"/>
              <w:left w:w="0" w:type="dxa"/>
              <w:bottom w:w="0" w:type="dxa"/>
              <w:right w:w="0" w:type="dxa"/>
            </w:tcMar>
            <w:vAlign w:val="center"/>
          </w:tcPr>
          <w:p>
            <w:pPr>
              <w:pStyle w:val="Normal"/>
              <w:bidi w:val="0"/>
              <w:jc w:val="left"/>
              <w:rPr/>
            </w:pPr>
            <w:r>
              <w:rPr/>
            </w:r>
          </w:p>
        </w:tc>
      </w:tr>
      <w:tr>
        <w:trPr/>
        <w:tc>
          <w:tcPr>
            <w:tcW w:w="2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Gary Sender</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89"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8, 2026</w:t>
            </w:r>
          </w:p>
        </w:tc>
      </w:tr>
      <w:tr>
        <w:trPr/>
        <w:tc>
          <w:tcPr>
            <w:tcW w:w="22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Gary Sender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3" w:name="apmd-ex5_1.htm"/>
      <w:bookmarkStart w:id="4" w:name="ksapmdex5_1"/>
      <w:bookmarkEnd w:id="3"/>
      <w:bookmarkEnd w:id="4"/>
      <w:r>
        <w:rPr/>
        <w:t> </w:t>
      </w:r>
      <w:r>
        <w:br w:type="page"/>
      </w:r>
    </w:p>
    <w:p>
      <w:pPr>
        <w:pStyle w:val="TextBody"/>
        <w:bidi w:val="0"/>
        <w:jc w:val="righ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September 8, 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Apnimed Inc.</w:t>
      </w:r>
    </w:p>
    <w:p>
      <w:pPr>
        <w:pStyle w:val="TextBody"/>
        <w:bidi w:val="0"/>
        <w:spacing w:lineRule="auto" w:line="360"/>
        <w:jc w:val="left"/>
        <w:rPr>
          <w:rFonts w:ascii="Times New Roman" w:hAnsi="Times New Roman"/>
          <w:sz w:val="16"/>
        </w:rPr>
      </w:pPr>
      <w:r>
        <w:rPr>
          <w:rFonts w:ascii="Times New Roman" w:hAnsi="Times New Roman"/>
          <w:color w:val="000000"/>
          <w:sz w:val="24"/>
        </w:rPr>
        <w:t>39 John F. Kennedy Street, 4</w:t>
      </w:r>
      <w:r>
        <w:rPr>
          <w:rFonts w:ascii="Times New Roman" w:hAnsi="Times New Roman"/>
          <w:color w:val="000000"/>
          <w:sz w:val="16"/>
        </w:rPr>
        <w:t xml:space="preserve">th </w:t>
      </w:r>
      <w:r>
        <w:rPr>
          <w:rFonts w:ascii="Times New Roman" w:hAnsi="Times New Roman"/>
          <w:color w:val="000000"/>
          <w:sz w:val="24"/>
        </w:rPr>
        <w:t>Floor</w:t>
      </w:r>
    </w:p>
    <w:p>
      <w:pPr>
        <w:pStyle w:val="TextBody"/>
        <w:bidi w:val="0"/>
        <w:jc w:val="left"/>
        <w:rPr>
          <w:rFonts w:ascii="Times New Roman" w:hAnsi="Times New Roman"/>
          <w:color w:val="000000"/>
          <w:sz w:val="24"/>
        </w:rPr>
      </w:pPr>
      <w:r>
        <w:rPr>
          <w:rFonts w:ascii="Times New Roman" w:hAnsi="Times New Roman"/>
          <w:color w:val="000000"/>
          <w:sz w:val="24"/>
        </w:rPr>
        <w:t>Cambridge, MA 02138</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 xml:space="preserve">Re: </w:t>
      </w:r>
      <w:r>
        <w:rPr>
          <w:rFonts w:ascii="Times New Roman" w:hAnsi="Times New Roman"/>
          <w:color w:val="000000"/>
          <w:sz w:val="24"/>
          <w:u w:val="single"/>
        </w:rPr>
        <w:t>Securities Being Registered under Registration Statement on Form S-8</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have acted as your counsel in connection with your filing of a Registration Statement on Form S-8 (the “Registration Statement”) pursuant to the Securities Act of 1933, as amended (the “Securities Act”), on or about the date hereof relating to an aggregate of 2,500,000 shares (the “Shares”) of Common Stock, par value $0.00001 per share (“Common Stock”), of Apnimed, Inc., a Delaware corporation (the “Company”), that may be issued pursuant to the Company’s 2026 Inducement Plan (the “Plan”).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opinion set forth below is limited to the Delaware General Corporation Law.</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Based on the foregoing, we are of the opinion that the Shares have been duly authorized and, when delivered against payment therefor in accordance with the terms of the Plan, will be validly issued, fully paid and nonassessable. </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 xml:space="preserve">This opinion letter and the opinion it contains shall be interpreted in accordance with the Core Opinion Principles as published in 74 </w:t>
      </w:r>
      <w:r>
        <w:rPr>
          <w:rFonts w:ascii="Times New Roman" w:hAnsi="Times New Roman"/>
          <w:i/>
          <w:color w:val="000000"/>
          <w:sz w:val="24"/>
        </w:rPr>
        <w:t>Business Lawyer</w:t>
      </w:r>
      <w:r>
        <w:rPr>
          <w:rFonts w:ascii="Times New Roman" w:hAnsi="Times New Roman"/>
          <w:color w:val="000000"/>
          <w:sz w:val="24"/>
        </w:rPr>
        <w:t xml:space="preserve"> 815 (Summer 2019).</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pStyle w:val="TextBody"/>
        <w:bidi w:val="0"/>
        <w:ind w:left="0" w:right="0" w:firstLine="72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Very truly yours,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 Goodwin Procter LLP</w:t>
      </w:r>
    </w:p>
    <w:p>
      <w:pPr>
        <w:pStyle w:val="TextBody"/>
        <w:bidi w:val="0"/>
        <w:jc w:val="left"/>
        <w:rPr/>
      </w:pPr>
      <w:r>
        <w:rPr/>
        <w:t> </w:t>
      </w:r>
    </w:p>
    <w:p>
      <w:pPr>
        <w:pStyle w:val="TextBody"/>
        <w:bidi w:val="0"/>
        <w:jc w:val="left"/>
        <w:rPr>
          <w:rFonts w:ascii="Times New Roman" w:hAnsi="Times New Roman"/>
          <w:sz w:val="18"/>
        </w:rPr>
      </w:pPr>
      <w:r>
        <w:rPr>
          <w:rFonts w:ascii="Times New Roman" w:hAnsi="Times New Roman"/>
          <w:color w:val="000000"/>
          <w:sz w:val="24"/>
        </w:rPr>
        <w:t xml:space="preserve">GOODWIN PROCTER </w:t>
      </w:r>
      <w:r>
        <w:rPr>
          <w:rFonts w:ascii="Times New Roman" w:hAnsi="Times New Roman"/>
          <w:color w:val="000000"/>
          <w:sz w:val="18"/>
        </w:rPr>
        <w:t>LLP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Calibri Light;sans-serif" w:hAnsi="Calibri Light;sans-serif"/>
          <w:color w:val="000000"/>
          <w:sz w:val="22"/>
        </w:rPr>
      </w:pPr>
      <w:bookmarkStart w:id="5" w:name="apmd-ex23_1.htm"/>
      <w:bookmarkStart w:id="6" w:name="ksapmdex23_1"/>
      <w:bookmarkEnd w:id="5"/>
      <w:bookmarkEnd w:id="6"/>
      <w:r>
        <w:rPr>
          <w:rFonts w:ascii="Calibri Light;sans-serif" w:hAnsi="Calibri Light;sans-serif"/>
          <w:color w:val="000000"/>
          <w:sz w:val="22"/>
        </w:rPr>
        <w:t>CONSENT OF INDEPENDENT REGISTERED PUBLIC ACCOUNTING FIRM</w:t>
      </w:r>
      <w:r>
        <w:br w:type="page"/>
      </w:r>
    </w:p>
    <w:p>
      <w:pPr>
        <w:pStyle w:val="TextBody"/>
        <w:bidi w:val="0"/>
        <w:spacing w:before="0" w:after="160"/>
        <w:jc w:val="left"/>
        <w:rPr>
          <w:rFonts w:ascii="Calibri Light;sans-serif" w:hAnsi="Calibri Light;sans-serif"/>
          <w:color w:val="000000"/>
          <w:sz w:val="22"/>
        </w:rPr>
      </w:pPr>
      <w:r>
        <w:rPr>
          <w:rFonts w:ascii="Calibri Light;sans-serif" w:hAnsi="Calibri Light;sans-serif"/>
          <w:color w:val="000000"/>
          <w:sz w:val="22"/>
        </w:rPr>
        <w:t>We consent to the incorporation by reference in this Registration Statement on Form S-8 of our report dated April 21, 2026 (May 29, 2026, as to the effects of discontinued operations as discussed in Note 18 and July 27, 2026, as to the effects of the reverse stock split as described in Note 17) relating to the financial statements of Apnimed, Inc., appearing in Registration Statement No. 333-297377 on Form S-1.</w:t>
      </w:r>
    </w:p>
    <w:p>
      <w:pPr>
        <w:pStyle w:val="TextBody"/>
        <w:bidi w:val="0"/>
        <w:spacing w:before="0" w:after="160"/>
        <w:jc w:val="left"/>
        <w:rPr>
          <w:rFonts w:ascii="Calibri Light;sans-serif" w:hAnsi="Calibri Light;sans-serif"/>
          <w:color w:val="000000"/>
          <w:sz w:val="22"/>
        </w:rPr>
      </w:pPr>
      <w:r>
        <w:rPr>
          <w:rFonts w:ascii="Calibri Light;sans-serif" w:hAnsi="Calibri Light;sans-serif"/>
          <w:color w:val="000000"/>
          <w:sz w:val="22"/>
        </w:rPr>
        <w:t>/s/ Deloitte &amp; Touche LLP</w:t>
      </w:r>
    </w:p>
    <w:p>
      <w:pPr>
        <w:pStyle w:val="TextBody"/>
        <w:bidi w:val="0"/>
        <w:spacing w:before="0" w:after="160"/>
        <w:jc w:val="left"/>
        <w:rPr>
          <w:rFonts w:ascii="Calibri Light;sans-serif" w:hAnsi="Calibri Light;sans-serif"/>
          <w:color w:val="000000"/>
          <w:sz w:val="22"/>
        </w:rPr>
      </w:pPr>
      <w:r>
        <w:rPr>
          <w:rFonts w:ascii="Calibri Light;sans-serif" w:hAnsi="Calibri Light;sans-serif"/>
          <w:color w:val="000000"/>
          <w:sz w:val="22"/>
        </w:rPr>
        <w:t>Boston, Massachusetts</w:t>
      </w:r>
    </w:p>
    <w:p>
      <w:pPr>
        <w:pStyle w:val="TextBody"/>
        <w:bidi w:val="0"/>
        <w:spacing w:before="0" w:after="160"/>
        <w:jc w:val="left"/>
        <w:rPr>
          <w:rFonts w:ascii="Calibri Light;sans-serif" w:hAnsi="Calibri Light;sans-serif"/>
          <w:color w:val="000000"/>
          <w:sz w:val="22"/>
        </w:rPr>
      </w:pPr>
      <w:r>
        <w:rPr>
          <w:rFonts w:ascii="Calibri Light;sans-serif" w:hAnsi="Calibri Light;sans-serif"/>
          <w:color w:val="000000"/>
          <w:sz w:val="22"/>
        </w:rPr>
        <w:t>September 8, 2026</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7" w:name="apmd-ex99_1.htm"/>
      <w:bookmarkStart w:id="8" w:name="ksapmdex99_1"/>
      <w:bookmarkEnd w:id="7"/>
      <w:bookmarkEnd w:id="8"/>
      <w:r>
        <w:rPr/>
        <w:t> </w:t>
      </w:r>
      <w:r>
        <w:br w:type="page"/>
      </w:r>
    </w:p>
    <w:p>
      <w:pPr>
        <w:pStyle w:val="TextBody"/>
        <w:bidi w:val="0"/>
        <w:spacing w:before="0" w:after="240"/>
        <w:jc w:val="center"/>
        <w:rPr>
          <w:rFonts w:ascii="Times New Roman" w:hAnsi="Times New Roman"/>
          <w:b/>
          <w:color w:val="000000"/>
          <w:sz w:val="28"/>
        </w:rPr>
      </w:pPr>
      <w:r>
        <w:rPr>
          <w:rFonts w:ascii="Times New Roman" w:hAnsi="Times New Roman"/>
          <w:b/>
          <w:color w:val="000000"/>
          <w:sz w:val="28"/>
        </w:rPr>
        <w:t>APNIMED, INC.</w:t>
      </w:r>
    </w:p>
    <w:p>
      <w:pPr>
        <w:pStyle w:val="TextBody"/>
        <w:bidi w:val="0"/>
        <w:spacing w:before="0" w:after="480"/>
        <w:jc w:val="center"/>
        <w:rPr>
          <w:rFonts w:ascii="Times New Roman" w:hAnsi="Times New Roman"/>
          <w:b/>
          <w:color w:val="000000"/>
          <w:sz w:val="28"/>
        </w:rPr>
      </w:pPr>
      <w:r>
        <w:rPr>
          <w:rFonts w:ascii="Times New Roman" w:hAnsi="Times New Roman"/>
          <w:b/>
          <w:color w:val="000000"/>
          <w:sz w:val="28"/>
        </w:rPr>
        <w:t>2026 INDUCEMENT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1.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GENERAL PURPOSE OF THE PLAN; 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name of the plan is the Apnimed, Inc. 2026 Inducement Plan (as amended from time to time, the “Plan”). The purpose of the Plan is to enable Apnimed, Inc. (the “Company”) and its Affiliates to induce highly-qualified prospective officers and employees who are Eligible Employees to accept employment and to provide them with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 or one of its Affiliates. The Company intends that the Plan be reserved for persons to whom the Company may issue securities without stockholder approval as an inducement pursuant to Rule 5635(c)(4) of the Marketplace Rules of The Nasdaq Stock Market LLC.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following terms shall be defined as set forth below:</w:t>
      </w:r>
    </w:p>
    <w:p>
      <w:pPr>
        <w:pStyle w:val="TextBody"/>
        <w:bidi w:val="0"/>
        <w:spacing w:before="0" w:after="240"/>
        <w:jc w:val="both"/>
        <w:rPr/>
      </w:pPr>
      <w:r>
        <w:rPr>
          <w:color w:val="000000"/>
        </w:rPr>
        <w:t>“</w:t>
      </w:r>
      <w:r>
        <w:rPr>
          <w:rFonts w:ascii="Times New Roman" w:hAnsi="Times New Roman"/>
          <w:i/>
          <w:color w:val="000000"/>
          <w:sz w:val="24"/>
        </w:rPr>
        <w:t>Act”</w:t>
      </w:r>
      <w:r>
        <w:rPr>
          <w:rFonts w:ascii="Times New Roman" w:hAnsi="Times New Roman"/>
          <w:color w:val="000000"/>
          <w:sz w:val="24"/>
        </w:rPr>
        <w:t xml:space="preserve"> means the U.S. Securities Act of 1933, as amended, and the rules and regulations thereunder.</w:t>
      </w:r>
    </w:p>
    <w:p>
      <w:pPr>
        <w:pStyle w:val="TextBody"/>
        <w:bidi w:val="0"/>
        <w:spacing w:before="0" w:after="240"/>
        <w:jc w:val="both"/>
        <w:rPr/>
      </w:pPr>
      <w:r>
        <w:rPr>
          <w:color w:val="000000"/>
        </w:rPr>
        <w:t>“</w:t>
      </w:r>
      <w:r>
        <w:rPr>
          <w:rFonts w:ascii="Times New Roman" w:hAnsi="Times New Roman"/>
          <w:i/>
          <w:color w:val="000000"/>
          <w:sz w:val="24"/>
        </w:rPr>
        <w:t>Administrator”</w:t>
      </w:r>
      <w:r>
        <w:rPr>
          <w:rFonts w:ascii="Times New Roman" w:hAnsi="Times New Roman"/>
          <w:color w:val="000000"/>
          <w:sz w:val="24"/>
        </w:rPr>
        <w:t xml:space="preserve"> means either the Board or the compensation committee of the Board or a similar committee performing the functions of the compensation committee and which is comprised of not less than two Non</w:t>
        <w:noBreakHyphen/>
        <w:t>Employee Directors who are independent.</w:t>
      </w:r>
    </w:p>
    <w:p>
      <w:pPr>
        <w:pStyle w:val="TextBody"/>
        <w:bidi w:val="0"/>
        <w:spacing w:before="0" w:after="240"/>
        <w:jc w:val="both"/>
        <w:rPr/>
      </w:pPr>
      <w:r>
        <w:rPr>
          <w:color w:val="000000"/>
        </w:rPr>
        <w:t>“</w:t>
      </w:r>
      <w:r>
        <w:rPr>
          <w:rFonts w:ascii="Times New Roman" w:hAnsi="Times New Roman"/>
          <w:i/>
          <w:color w:val="000000"/>
          <w:sz w:val="24"/>
        </w:rPr>
        <w:t>Affiliate</w:t>
      </w:r>
      <w:r>
        <w:rPr>
          <w:rFonts w:ascii="Times New Roman" w:hAnsi="Times New Roman"/>
          <w:color w:val="000000"/>
          <w:sz w:val="24"/>
        </w:rPr>
        <w:t xml:space="preserve">” means, at the time of determination, any “parent” or “subsidiary” of the Company as such terms are defined in Rule 405 of the Act. The Board will have the authority to determine the time or times at which “parent” or “subsidiary” status is determined within the foregoing definition. </w:t>
      </w:r>
    </w:p>
    <w:p>
      <w:pPr>
        <w:pStyle w:val="TextBody"/>
        <w:bidi w:val="0"/>
        <w:spacing w:before="0" w:after="240"/>
        <w:jc w:val="both"/>
        <w:rPr/>
      </w:pPr>
      <w:r>
        <w:rPr>
          <w:color w:val="000000"/>
        </w:rPr>
        <w:t>“</w:t>
      </w:r>
      <w:r>
        <w:rPr>
          <w:rFonts w:ascii="Times New Roman" w:hAnsi="Times New Roman"/>
          <w:i/>
          <w:color w:val="000000"/>
          <w:sz w:val="24"/>
        </w:rPr>
        <w:t>Award”</w:t>
      </w:r>
      <w:r>
        <w:rPr>
          <w:rFonts w:ascii="Times New Roman" w:hAnsi="Times New Roman"/>
          <w:color w:val="000000"/>
          <w:sz w:val="24"/>
        </w:rPr>
        <w:t xml:space="preserve"> or “</w:t>
      </w:r>
      <w:r>
        <w:rPr>
          <w:rFonts w:ascii="Times New Roman" w:hAnsi="Times New Roman"/>
          <w:i/>
          <w:color w:val="000000"/>
          <w:sz w:val="24"/>
        </w:rPr>
        <w:t>Awards,”</w:t>
      </w:r>
      <w:r>
        <w:rPr>
          <w:rFonts w:ascii="Times New Roman" w:hAnsi="Times New Roman"/>
          <w:color w:val="000000"/>
          <w:sz w:val="24"/>
        </w:rPr>
        <w:t xml:space="preserve"> except where referring to a particular category of grant under the Plan, shall include Stock Options, Stock Appreciation Rights, Restricted Stock Units, Restricted Stock Awards, Unrestricted Stock Awards, and Dividend Equivalent Rights.</w:t>
      </w:r>
    </w:p>
    <w:p>
      <w:pPr>
        <w:pStyle w:val="TextBody"/>
        <w:bidi w:val="0"/>
        <w:spacing w:before="0" w:after="240"/>
        <w:jc w:val="both"/>
        <w:rPr/>
      </w:pPr>
      <w:r>
        <w:rPr>
          <w:color w:val="000000"/>
        </w:rPr>
        <w:t>“</w:t>
      </w:r>
      <w:r>
        <w:rPr>
          <w:rFonts w:ascii="Times New Roman" w:hAnsi="Times New Roman"/>
          <w:i/>
          <w:color w:val="000000"/>
          <w:sz w:val="24"/>
        </w:rPr>
        <w:t>Award Agreement”</w:t>
      </w:r>
      <w:r>
        <w:rPr>
          <w:rFonts w:ascii="Times New Roman" w:hAnsi="Times New Roman"/>
          <w:color w:val="000000"/>
          <w:sz w:val="24"/>
        </w:rPr>
        <w:t xml:space="preserve"> means a written or electronic document setting forth the terms and provisions applicable to an Award granted under the Plan. Each Award Agreement is subject to the terms and conditions of the Plan.</w:t>
      </w:r>
    </w:p>
    <w:p>
      <w:pPr>
        <w:pStyle w:val="TextBody"/>
        <w:bidi w:val="0"/>
        <w:spacing w:before="0" w:after="240"/>
        <w:jc w:val="both"/>
        <w:rPr/>
      </w:pPr>
      <w:r>
        <w:rPr>
          <w:color w:val="000000"/>
        </w:rPr>
        <w:t>“</w:t>
      </w:r>
      <w:r>
        <w:rPr>
          <w:rFonts w:ascii="Times New Roman" w:hAnsi="Times New Roman"/>
          <w:i/>
          <w:color w:val="000000"/>
          <w:sz w:val="24"/>
        </w:rPr>
        <w:t>Board”</w:t>
      </w:r>
      <w:r>
        <w:rPr>
          <w:rFonts w:ascii="Times New Roman" w:hAnsi="Times New Roman"/>
          <w:color w:val="000000"/>
          <w:sz w:val="24"/>
        </w:rPr>
        <w:t xml:space="preserve"> means the Board of Directors of the Company.</w:t>
      </w:r>
    </w:p>
    <w:p>
      <w:pPr>
        <w:pStyle w:val="TextBody"/>
        <w:bidi w:val="0"/>
        <w:spacing w:before="0" w:after="240"/>
        <w:jc w:val="both"/>
        <w:rPr/>
      </w:pPr>
      <w:r>
        <w:rPr>
          <w:color w:val="000000"/>
        </w:rPr>
        <w:t>“</w:t>
      </w:r>
      <w:r>
        <w:rPr>
          <w:rFonts w:ascii="Times New Roman" w:hAnsi="Times New Roman"/>
          <w:i/>
          <w:color w:val="000000"/>
          <w:sz w:val="24"/>
        </w:rPr>
        <w:t>Code”</w:t>
      </w:r>
      <w:r>
        <w:rPr>
          <w:rFonts w:ascii="Times New Roman" w:hAnsi="Times New Roman"/>
          <w:color w:val="000000"/>
          <w:sz w:val="24"/>
        </w:rPr>
        <w:t xml:space="preserve"> means the U.S. Internal Revenue Code of 1986, as amended, and any successor Code, and related rules, regulations and interpretations.</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i/>
          <w:color w:val="000000"/>
          <w:sz w:val="24"/>
        </w:rPr>
        <w:t>Consultant”</w:t>
      </w:r>
      <w:r>
        <w:rPr>
          <w:rFonts w:ascii="Times New Roman" w:hAnsi="Times New Roman"/>
          <w:color w:val="000000"/>
          <w:sz w:val="24"/>
        </w:rPr>
        <w:t xml:space="preserve"> means a consultant or adviser who provides </w:t>
      </w:r>
      <w:r>
        <w:rPr>
          <w:rFonts w:ascii="Times New Roman" w:hAnsi="Times New Roman"/>
          <w:i/>
          <w:color w:val="000000"/>
          <w:sz w:val="24"/>
        </w:rPr>
        <w:t>bona fide</w:t>
      </w:r>
      <w:r>
        <w:rPr>
          <w:rFonts w:ascii="Times New Roman" w:hAnsi="Times New Roman"/>
          <w:color w:val="000000"/>
          <w:sz w:val="24"/>
        </w:rPr>
        <w:t xml:space="preserve"> services to the Company or an Affiliate as an independent contractor and who qualifies as a consultant or advisor under Instruction A.1.(a)(1) of Form S-8 under the Act. </w:t>
      </w:r>
    </w:p>
    <w:p>
      <w:pPr>
        <w:pStyle w:val="TextBody"/>
        <w:bidi w:val="0"/>
        <w:spacing w:before="0" w:after="240"/>
        <w:jc w:val="both"/>
        <w:rPr/>
      </w:pPr>
      <w:r>
        <w:rPr>
          <w:color w:val="000000"/>
        </w:rPr>
        <w:t>“</w:t>
      </w:r>
      <w:r>
        <w:rPr>
          <w:rFonts w:ascii="Times New Roman" w:hAnsi="Times New Roman"/>
          <w:i/>
          <w:color w:val="000000"/>
          <w:sz w:val="24"/>
        </w:rPr>
        <w:t>Dividend Equivalent Right”</w:t>
      </w:r>
      <w:r>
        <w:rPr>
          <w:rFonts w:ascii="Times New Roman" w:hAnsi="Times New Roman"/>
          <w:color w:val="000000"/>
          <w:sz w:val="24"/>
        </w:rPr>
        <w:t xml:space="preserve"> means an Award entitling the grantee to receive credits based on ordinary cash dividends that would have been paid on the shares of Stock specified in the Dividend Equivalent Right (or other award to which it relates) if such shares had been issued to and held by the grantee.</w:t>
      </w:r>
    </w:p>
    <w:p>
      <w:pPr>
        <w:pStyle w:val="TextBody"/>
        <w:bidi w:val="0"/>
        <w:spacing w:before="0" w:after="240"/>
        <w:jc w:val="both"/>
        <w:rPr/>
      </w:pPr>
      <w:r>
        <w:rPr>
          <w:color w:val="000000"/>
        </w:rPr>
        <w:t>“</w:t>
      </w:r>
      <w:r>
        <w:rPr>
          <w:rFonts w:ascii="Times New Roman" w:hAnsi="Times New Roman"/>
          <w:i/>
          <w:color w:val="000000"/>
          <w:sz w:val="24"/>
        </w:rPr>
        <w:t>Effective Date”</w:t>
      </w:r>
      <w:r>
        <w:rPr>
          <w:rFonts w:ascii="Times New Roman" w:hAnsi="Times New Roman"/>
          <w:color w:val="000000"/>
          <w:sz w:val="24"/>
        </w:rPr>
        <w:t xml:space="preserve"> means the date on which the Plan becomes effective as set forth in Section 18.</w:t>
      </w:r>
    </w:p>
    <w:p>
      <w:pPr>
        <w:pStyle w:val="TextBody"/>
        <w:bidi w:val="0"/>
        <w:spacing w:before="0" w:after="240"/>
        <w:jc w:val="both"/>
        <w:rPr/>
      </w:pPr>
      <w:r>
        <w:rPr>
          <w:color w:val="000000"/>
        </w:rPr>
        <w:t>“</w:t>
      </w:r>
      <w:r>
        <w:rPr>
          <w:rFonts w:ascii="Times New Roman" w:hAnsi="Times New Roman"/>
          <w:i/>
          <w:color w:val="000000"/>
          <w:sz w:val="24"/>
        </w:rPr>
        <w:t xml:space="preserve">Eligible Employee” </w:t>
      </w:r>
      <w:r>
        <w:rPr>
          <w:rFonts w:ascii="Times New Roman" w:hAnsi="Times New Roman"/>
          <w:color w:val="000000"/>
          <w:sz w:val="24"/>
        </w:rPr>
        <w:t>means any individual who was not previously an employee or a Non-Employee Director of the Company or any of its Affiliates (or who has had a bona fide period of non-employment with the Company and its Affiliates), who is hired as a full or part-time employee by the Company or one of its Affiliates, and for whom the Award is being made as an inducement material to the individual’s entering into such employment.</w:t>
      </w:r>
    </w:p>
    <w:p>
      <w:pPr>
        <w:pStyle w:val="TextBody"/>
        <w:bidi w:val="0"/>
        <w:spacing w:before="0" w:after="240"/>
        <w:jc w:val="both"/>
        <w:rPr/>
      </w:pPr>
      <w:r>
        <w:rPr>
          <w:color w:val="000000"/>
        </w:rPr>
        <w:t>“</w:t>
      </w:r>
      <w:r>
        <w:rPr>
          <w:rFonts w:ascii="Times New Roman" w:hAnsi="Times New Roman"/>
          <w:i/>
          <w:color w:val="000000"/>
          <w:sz w:val="24"/>
        </w:rPr>
        <w:t>Exchange Act”</w:t>
      </w:r>
      <w:r>
        <w:rPr>
          <w:rFonts w:ascii="Times New Roman" w:hAnsi="Times New Roman"/>
          <w:color w:val="000000"/>
          <w:sz w:val="24"/>
        </w:rPr>
        <w:t xml:space="preserve"> means the U.S. Securities Exchange Act of 1934, as amended, and the rules and regulations thereunder.</w:t>
      </w:r>
    </w:p>
    <w:p>
      <w:pPr>
        <w:pStyle w:val="TextBody"/>
        <w:bidi w:val="0"/>
        <w:spacing w:before="0" w:after="240"/>
        <w:jc w:val="both"/>
        <w:rPr/>
      </w:pPr>
      <w:r>
        <w:rPr>
          <w:color w:val="000000"/>
        </w:rPr>
        <w:t>“</w:t>
      </w:r>
      <w:r>
        <w:rPr>
          <w:rFonts w:ascii="Times New Roman" w:hAnsi="Times New Roman"/>
          <w:i/>
          <w:color w:val="000000"/>
          <w:sz w:val="24"/>
        </w:rPr>
        <w:t>Fair Market Value”</w:t>
      </w:r>
      <w:r>
        <w:rPr>
          <w:rFonts w:ascii="Times New Roman" w:hAnsi="Times New Roman"/>
          <w:color w:val="000000"/>
          <w:sz w:val="24"/>
        </w:rPr>
        <w:t xml:space="preserve"> of the Stock on any given date means the fair market value of the Stock determined 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w:t>
      </w:r>
    </w:p>
    <w:p>
      <w:pPr>
        <w:pStyle w:val="TextBody"/>
        <w:bidi w:val="0"/>
        <w:spacing w:before="0" w:after="240"/>
        <w:jc w:val="left"/>
        <w:rPr/>
      </w:pPr>
      <w:r>
        <w:rPr>
          <w:color w:val="000000"/>
        </w:rPr>
        <w:t>“</w:t>
      </w:r>
      <w:r>
        <w:rPr>
          <w:rFonts w:ascii="Times New Roman" w:hAnsi="Times New Roman"/>
          <w:i/>
          <w:color w:val="000000"/>
          <w:sz w:val="24"/>
        </w:rPr>
        <w:t xml:space="preserve">Nasdaq Inducement Exception” </w:t>
      </w:r>
      <w:r>
        <w:rPr>
          <w:rFonts w:ascii="Times New Roman" w:hAnsi="Times New Roman"/>
          <w:color w:val="000000"/>
          <w:sz w:val="24"/>
        </w:rPr>
        <w:t>means Rule 5635(c)(4) of the Marketplace Rules of the Nasdaq Stock Market, Inc., or any successor rule, and related guidance thereunder.</w:t>
      </w:r>
    </w:p>
    <w:p>
      <w:pPr>
        <w:pStyle w:val="TextBody"/>
        <w:bidi w:val="0"/>
        <w:spacing w:before="0" w:after="240"/>
        <w:jc w:val="both"/>
        <w:rPr/>
      </w:pPr>
      <w:r>
        <w:rPr>
          <w:color w:val="000000"/>
        </w:rPr>
        <w:t>“</w:t>
      </w:r>
      <w:r>
        <w:rPr>
          <w:rFonts w:ascii="Times New Roman" w:hAnsi="Times New Roman"/>
          <w:i/>
          <w:color w:val="000000"/>
          <w:sz w:val="24"/>
        </w:rPr>
        <w:t>Non-Employee Director”</w:t>
      </w:r>
      <w:r>
        <w:rPr>
          <w:rFonts w:ascii="Times New Roman" w:hAnsi="Times New Roman"/>
          <w:color w:val="000000"/>
          <w:sz w:val="24"/>
        </w:rPr>
        <w:t xml:space="preserve"> means a member of the Board who is not also an employee of the Company or any Subsidiary.</w:t>
      </w:r>
    </w:p>
    <w:p>
      <w:pPr>
        <w:pStyle w:val="TextBody"/>
        <w:bidi w:val="0"/>
        <w:spacing w:before="0" w:after="240"/>
        <w:jc w:val="both"/>
        <w:rPr/>
      </w:pPr>
      <w:r>
        <w:rPr>
          <w:color w:val="000000"/>
        </w:rPr>
        <w:t>“</w:t>
      </w:r>
      <w:r>
        <w:rPr>
          <w:rFonts w:ascii="Times New Roman" w:hAnsi="Times New Roman"/>
          <w:i/>
          <w:color w:val="000000"/>
          <w:sz w:val="24"/>
        </w:rPr>
        <w:t>Option”</w:t>
      </w:r>
      <w:r>
        <w:rPr>
          <w:rFonts w:ascii="Times New Roman" w:hAnsi="Times New Roman"/>
          <w:color w:val="000000"/>
          <w:sz w:val="24"/>
        </w:rPr>
        <w:t xml:space="preserve"> or “</w:t>
      </w:r>
      <w:r>
        <w:rPr>
          <w:rFonts w:ascii="Times New Roman" w:hAnsi="Times New Roman"/>
          <w:i/>
          <w:color w:val="000000"/>
          <w:sz w:val="24"/>
        </w:rPr>
        <w:t>Stock Option”</w:t>
      </w:r>
      <w:r>
        <w:rPr>
          <w:rFonts w:ascii="Times New Roman" w:hAnsi="Times New Roman"/>
          <w:color w:val="000000"/>
          <w:sz w:val="24"/>
        </w:rPr>
        <w:t xml:space="preserve"> means any option to purchase shares of Stock granted pursuant to Section 5.</w:t>
      </w:r>
    </w:p>
    <w:p>
      <w:pPr>
        <w:pStyle w:val="TextBody"/>
        <w:bidi w:val="0"/>
        <w:spacing w:before="0" w:after="240"/>
        <w:jc w:val="both"/>
        <w:rPr/>
      </w:pPr>
      <w:r>
        <w:rPr>
          <w:color w:val="000000"/>
        </w:rPr>
        <w:t>“</w:t>
      </w:r>
      <w:r>
        <w:rPr>
          <w:rFonts w:ascii="Times New Roman" w:hAnsi="Times New Roman"/>
          <w:i/>
          <w:color w:val="000000"/>
          <w:sz w:val="24"/>
        </w:rPr>
        <w:t>Restricted Shares”</w:t>
      </w:r>
      <w:r>
        <w:rPr>
          <w:rFonts w:ascii="Times New Roman" w:hAnsi="Times New Roman"/>
          <w:color w:val="000000"/>
          <w:sz w:val="24"/>
        </w:rPr>
        <w:t xml:space="preserve"> means the shares of Stock underlying a Restricted Stock Award that remain subject to a risk of forfeiture or the Company’s right of repurchase.</w:t>
      </w:r>
    </w:p>
    <w:p>
      <w:pPr>
        <w:pStyle w:val="TextBody"/>
        <w:bidi w:val="0"/>
        <w:spacing w:before="0" w:after="240"/>
        <w:jc w:val="both"/>
        <w:rPr/>
      </w:pPr>
      <w:r>
        <w:rPr>
          <w:color w:val="000000"/>
        </w:rPr>
        <w:t>“</w:t>
      </w:r>
      <w:r>
        <w:rPr>
          <w:rFonts w:ascii="Times New Roman" w:hAnsi="Times New Roman"/>
          <w:i/>
          <w:color w:val="000000"/>
          <w:sz w:val="24"/>
        </w:rPr>
        <w:t>Restricted Stock Award”</w:t>
      </w:r>
      <w:r>
        <w:rPr>
          <w:rFonts w:ascii="Times New Roman" w:hAnsi="Times New Roman"/>
          <w:color w:val="000000"/>
          <w:sz w:val="24"/>
        </w:rPr>
        <w:t xml:space="preserve"> means an Award of Restricted Shares subject to such restrictions and conditions as the Administrator may determine at the time of grant.</w:t>
      </w:r>
    </w:p>
    <w:p>
      <w:pPr>
        <w:pStyle w:val="TextBody"/>
        <w:bidi w:val="0"/>
        <w:spacing w:before="0" w:after="240"/>
        <w:jc w:val="both"/>
        <w:rPr/>
      </w:pPr>
      <w:r>
        <w:rPr>
          <w:color w:val="000000"/>
        </w:rPr>
        <w:t>“</w:t>
      </w:r>
      <w:r>
        <w:rPr>
          <w:rFonts w:ascii="Times New Roman" w:hAnsi="Times New Roman"/>
          <w:i/>
          <w:color w:val="000000"/>
          <w:sz w:val="24"/>
        </w:rPr>
        <w:t>Restricted Stock Units”</w:t>
      </w:r>
      <w:r>
        <w:rPr>
          <w:rFonts w:ascii="Times New Roman" w:hAnsi="Times New Roman"/>
          <w:color w:val="000000"/>
          <w:sz w:val="24"/>
        </w:rPr>
        <w:t xml:space="preserve"> means an Award of stock units subject to such restrictions and conditions as the Administrator may determine at the time of grant.</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i/>
          <w:color w:val="000000"/>
          <w:sz w:val="24"/>
        </w:rPr>
        <w:t>Sale Event”</w:t>
      </w:r>
      <w:r>
        <w:rPr>
          <w:rFonts w:ascii="Times New Roman" w:hAnsi="Times New Roman"/>
          <w:color w:val="000000"/>
          <w:sz w:val="24"/>
        </w:rPr>
        <w:t xml:space="preserve">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anything in the foregoing to the contrary, with respect to compensation (A) that is subject to Section 409A of the Code and (B) for which a Sale Event would accelerate the timing of payment thereunder, the term “Sale Event” shall mean an event that is both (I) a Sale Event (as defined above) and (II) a “change in control event” (within the meaning of Section 409A of the Code).</w:t>
      </w:r>
    </w:p>
    <w:p>
      <w:pPr>
        <w:pStyle w:val="TextBody"/>
        <w:bidi w:val="0"/>
        <w:spacing w:before="0" w:after="240"/>
        <w:jc w:val="both"/>
        <w:rPr/>
      </w:pPr>
      <w:r>
        <w:rPr>
          <w:color w:val="000000"/>
        </w:rPr>
        <w:t>“</w:t>
      </w:r>
      <w:r>
        <w:rPr>
          <w:rFonts w:ascii="Times New Roman" w:hAnsi="Times New Roman"/>
          <w:i/>
          <w:color w:val="000000"/>
          <w:sz w:val="24"/>
        </w:rPr>
        <w:t>Sale Price</w:t>
      </w:r>
      <w:r>
        <w:rPr>
          <w:rFonts w:ascii="Times New Roman" w:hAnsi="Times New Roman"/>
          <w:color w:val="000000"/>
          <w:sz w:val="24"/>
        </w:rPr>
        <w:t>” means the value as determined by the Administrator of the consideration payable, or otherwise to be received by stockholders, per share of Stock pursuant to a Sale Event.</w:t>
      </w:r>
    </w:p>
    <w:p>
      <w:pPr>
        <w:pStyle w:val="TextBody"/>
        <w:bidi w:val="0"/>
        <w:spacing w:before="0" w:after="240"/>
        <w:jc w:val="both"/>
        <w:rPr/>
      </w:pPr>
      <w:r>
        <w:rPr>
          <w:color w:val="000000"/>
        </w:rPr>
        <w:t>“</w:t>
      </w:r>
      <w:r>
        <w:rPr>
          <w:rFonts w:ascii="Times New Roman" w:hAnsi="Times New Roman"/>
          <w:i/>
          <w:color w:val="000000"/>
          <w:sz w:val="24"/>
        </w:rPr>
        <w:t>Section 409A”</w:t>
      </w:r>
      <w:r>
        <w:rPr>
          <w:rFonts w:ascii="Times New Roman" w:hAnsi="Times New Roman"/>
          <w:color w:val="000000"/>
          <w:sz w:val="24"/>
        </w:rPr>
        <w:t xml:space="preserve"> means Section 409A of the Code and the regulations and other guidance promulgated thereunder.</w:t>
      </w:r>
    </w:p>
    <w:p>
      <w:pPr>
        <w:pStyle w:val="TextBody"/>
        <w:bidi w:val="0"/>
        <w:spacing w:before="0" w:after="240"/>
        <w:jc w:val="both"/>
        <w:rPr/>
      </w:pPr>
      <w:r>
        <w:rPr>
          <w:color w:val="000000"/>
        </w:rPr>
        <w:t>“</w:t>
      </w:r>
      <w:r>
        <w:rPr>
          <w:rFonts w:ascii="Times New Roman" w:hAnsi="Times New Roman"/>
          <w:i/>
          <w:color w:val="000000"/>
          <w:sz w:val="24"/>
        </w:rPr>
        <w:t xml:space="preserve">Service Relationship” </w:t>
      </w:r>
      <w:r>
        <w:rPr>
          <w:rFonts w:ascii="Times New Roman" w:hAnsi="Times New Roman"/>
          <w:color w:val="000000"/>
          <w:sz w:val="24"/>
        </w:rPr>
        <w:t>means any relationship as an employee, Non-Employee Director or Consultant of the Company or any Affiliate. Unless as otherwise set forth in the Award Agreement, a Service Relationship shall be deemed to continue without interruption in the event a grantee’s status changes from full-time employee to part-time employee or a grantee’s status changes from employee to Consultant or Non-Employee Director or vice versa, provided that there is no interruption or other termination of Service Relationship in connection with the grantee’s change in capacity.</w:t>
      </w:r>
    </w:p>
    <w:p>
      <w:pPr>
        <w:pStyle w:val="TextBody"/>
        <w:bidi w:val="0"/>
        <w:spacing w:lineRule="auto" w:line="360" w:before="0" w:after="240"/>
        <w:jc w:val="both"/>
        <w:rPr/>
      </w:pPr>
      <w:r>
        <w:rPr>
          <w:color w:val="000000"/>
        </w:rPr>
        <w:t>“</w:t>
      </w:r>
      <w:r>
        <w:rPr>
          <w:rFonts w:ascii="Times New Roman" w:hAnsi="Times New Roman"/>
          <w:i/>
          <w:color w:val="000000"/>
          <w:sz w:val="24"/>
        </w:rPr>
        <w:t>Stock”</w:t>
      </w:r>
      <w:r>
        <w:rPr>
          <w:rFonts w:ascii="Times New Roman" w:hAnsi="Times New Roman"/>
          <w:color w:val="000000"/>
          <w:sz w:val="16"/>
        </w:rPr>
        <w:t xml:space="preserve"> </w:t>
      </w:r>
      <w:r>
        <w:rPr>
          <w:rFonts w:ascii="Times New Roman" w:hAnsi="Times New Roman"/>
          <w:color w:val="000000"/>
          <w:sz w:val="24"/>
        </w:rPr>
        <w:t>means the Common Stock, par value $0.00001 per share, of the Company, subject to adjustments pursuant to Section 3.</w:t>
      </w:r>
      <w:r>
        <w:rPr>
          <w:rFonts w:ascii="Times New Roman" w:hAnsi="Times New Roman"/>
          <w:color w:val="000000"/>
          <w:sz w:val="16"/>
        </w:rPr>
        <w:t xml:space="preserve"> </w:t>
      </w:r>
    </w:p>
    <w:p>
      <w:pPr>
        <w:pStyle w:val="TextBody"/>
        <w:bidi w:val="0"/>
        <w:spacing w:before="0" w:after="240"/>
        <w:jc w:val="both"/>
        <w:rPr/>
      </w:pPr>
      <w:r>
        <w:rPr>
          <w:color w:val="000000"/>
        </w:rPr>
        <w:t>“</w:t>
      </w:r>
      <w:r>
        <w:rPr>
          <w:rFonts w:ascii="Times New Roman" w:hAnsi="Times New Roman"/>
          <w:i/>
          <w:color w:val="000000"/>
          <w:sz w:val="24"/>
        </w:rPr>
        <w:t>Stock Appreciation Right”</w:t>
      </w:r>
      <w:r>
        <w:rPr>
          <w:rFonts w:ascii="Times New Roman" w:hAnsi="Times New Roman"/>
          <w:color w:val="000000"/>
          <w:sz w:val="24"/>
        </w:rPr>
        <w:t xml:space="preserve"> means an Award entitling the recipient to receive shares of Stock (or cash, to the extent explicitly provided for in the 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pStyle w:val="TextBody"/>
        <w:bidi w:val="0"/>
        <w:spacing w:before="0" w:after="240"/>
        <w:jc w:val="both"/>
        <w:rPr/>
      </w:pPr>
      <w:r>
        <w:rPr>
          <w:color w:val="000000"/>
        </w:rPr>
        <w:t>“</w:t>
      </w:r>
      <w:r>
        <w:rPr>
          <w:rFonts w:ascii="Times New Roman" w:hAnsi="Times New Roman"/>
          <w:i/>
          <w:color w:val="000000"/>
          <w:sz w:val="24"/>
        </w:rPr>
        <w:t>Subsidiary”</w:t>
      </w:r>
      <w:r>
        <w:rPr>
          <w:rFonts w:ascii="Times New Roman" w:hAnsi="Times New Roman"/>
          <w:color w:val="000000"/>
          <w:sz w:val="24"/>
        </w:rPr>
        <w:t xml:space="preserve"> means any corporation or other entity (other than the Company) in which the Company has at least a 50 percent interest, either directly or indirectly.</w:t>
      </w:r>
    </w:p>
    <w:p>
      <w:pPr>
        <w:pStyle w:val="TextBody"/>
        <w:bidi w:val="0"/>
        <w:spacing w:before="0" w:after="240"/>
        <w:jc w:val="both"/>
        <w:rPr/>
      </w:pPr>
      <w:r>
        <w:rPr>
          <w:color w:val="000000"/>
        </w:rPr>
        <w:t>“</w:t>
      </w:r>
      <w:r>
        <w:rPr>
          <w:rFonts w:ascii="Times New Roman" w:hAnsi="Times New Roman"/>
          <w:i/>
          <w:color w:val="000000"/>
          <w:sz w:val="24"/>
        </w:rPr>
        <w:t>Unrestricted Stock Award”</w:t>
      </w:r>
      <w:r>
        <w:rPr>
          <w:rFonts w:ascii="Times New Roman" w:hAnsi="Times New Roman"/>
          <w:color w:val="000000"/>
          <w:sz w:val="24"/>
        </w:rPr>
        <w:t xml:space="preserve"> means an Award of shares of Stock free of any restrictions.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2.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ADMINISTRATION OF PLAN; ADMINISTRATOR AUTHORITY TO SELECT GRANTEES AND DETERMINE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Administration of Plan</w:t>
      </w:r>
      <w:r>
        <w:rPr>
          <w:rFonts w:ascii="Times New Roman" w:hAnsi="Times New Roman"/>
          <w:color w:val="000000"/>
          <w:sz w:val="24"/>
        </w:rPr>
        <w:t>. The Plan shall be administered by the Administrator.</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Powers of Administrator</w:t>
      </w:r>
      <w:r>
        <w:rPr>
          <w:rFonts w:ascii="Times New Roman" w:hAnsi="Times New Roman"/>
          <w:color w:val="000000"/>
          <w:sz w:val="24"/>
        </w:rPr>
        <w:t>. The Administrator shall have the power and authority to grant Awards consistent with the terms of the Plan, including the power and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select the individuals to whom Awards may from time to time be granted, provided such individuals are Eligible Employees;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determine the time or times of grant, and the extent, if any, of Stock Options, Stock Appreciation Rights, Restricted Stock Awards, Restricted Stock Units, Unrestricted Stock Awards and Dividend Equivalent Rights, or any combination of the foregoing, granted to any one or more grantees;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determine the number of shares of Stock to be covered by any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determine and modify from time to time the terms and conditions, including restrictions, not inconsistent with the terms of the Plan, of any Award, which terms and conditions may differ among individual Awards and grantees, and to approve the forms of Award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accelerate at any time the exercisability or vesting of all or any portion of any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provisions of Section 5(c) or 6(d), to extend at any time the period in which Stock Options or Stock Appreciation Rights, respectively, may be exercised;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decisions and interpretations of the Administrator shall be binding on all persons, including the Company and Plan grantees.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Delegation of Authority to Grant Awards</w:t>
      </w:r>
      <w:r>
        <w:rPr>
          <w:rFonts w:ascii="Times New Roman" w:hAnsi="Times New Roman"/>
          <w:color w:val="000000"/>
          <w:sz w:val="24"/>
        </w:rPr>
        <w:t>. Subject to applicable law and the Nasdaq Inducement Exception,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Award Agreement</w:t>
      </w:r>
      <w:r>
        <w:rPr>
          <w:rFonts w:ascii="Times New Roman" w:hAnsi="Times New Roman"/>
          <w:color w:val="000000"/>
          <w:sz w:val="24"/>
        </w:rPr>
        <w:t xml:space="preserve">. Awards under the Plan shall be evidenced by Award Agreements that set forth the terms, conditions and limitations for each Award which may include,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limitation, the term of an Award and the provisions applicable in the event the Service Relationship terminates.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Indemnification</w:t>
      </w:r>
      <w:r>
        <w:rPr>
          <w:rFonts w:ascii="Times New Roman" w:hAnsi="Times New Roman"/>
          <w:color w:val="000000"/>
          <w:sz w:val="24"/>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Non-U.S. Award Recipients</w:t>
      </w:r>
      <w:r>
        <w:rPr>
          <w:rFonts w:ascii="Times New Roman" w:hAnsi="Times New Roman"/>
          <w:color w:val="000000"/>
          <w:sz w:val="24"/>
        </w:rPr>
        <w:t>. Notwithstanding any provision of the Plan to the contrary, in order to comply with the laws in other countries in which the Company and its Affiliates operate or have employees eligible for Awards, the Administrator, in its sole discretion, shall have the power and authority to: (i) determine which Eligible Employee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incorporated into and made part of this Plan) and subject to the Nasdaq Inducement Exception; provided, however, that no such subplans and/or modifications shall increase the share limitation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3.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STOCK ISSUABLE UNDER THE PLAN; MERGERS; SUBSTITUTION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Stock Issuable</w:t>
      </w:r>
      <w:r>
        <w:rPr>
          <w:rFonts w:ascii="Times New Roman" w:hAnsi="Times New Roman"/>
          <w:color w:val="000000"/>
          <w:sz w:val="24"/>
        </w:rPr>
        <w:t>. The maximum number of shares of Stock reserved and available for issuance under the Plan shall be 2,500,000 shares, subject in all cases to adjustment as provided in this Section 3.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or settlement)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 shares of Stock may be issued up to such maximum number pursuant to any type or types of Award. The shares available for issuance under the Plan may be authorized but unissued shares of Stock or shares of Stock reacquired by the Company. Awards that may be settled solely in cash shall not be counted against the share reserve, nor shall they reduce the shares of Stock authorized for grant to a grantee in any calendar year.</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Changes in Stock</w:t>
      </w:r>
      <w:r>
        <w:rPr>
          <w:rFonts w:ascii="Times New Roman" w:hAnsi="Times New Roman"/>
          <w:color w:val="000000"/>
          <w:sz w:val="24"/>
        </w:rPr>
        <w:t>.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Mergers and Other Transactions</w:t>
      </w:r>
      <w:r>
        <w:rPr>
          <w:rFonts w:ascii="Times New Roman" w:hAnsi="Times New Roman"/>
          <w:color w:val="000000"/>
          <w:sz w:val="24"/>
        </w:rPr>
        <w:t xml:space="preserve">.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that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4.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ELIGIBILITY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Grantees under the Plan will be such Eligible Employees to whom the Company may issue securities without stockholder approval in accordance with the Nasdaq Inducement Exception as are selected from time to time by the Administrator in its sole discretion.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5.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STOCK OPTIONS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Stock Options granted pursuant to this Section 5 shall be subject to the following terms and conditions and shall contain such additional terms and conditions, not inconsistent with the terms of the Plan, as the Administrator shall deem desirable.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Exercise Price</w:t>
      </w:r>
      <w:r>
        <w:rPr>
          <w:rFonts w:ascii="Times New Roman" w:hAnsi="Times New Roman"/>
          <w:color w:val="000000"/>
          <w:sz w:val="24"/>
        </w:rPr>
        <w:t>. The exercise price per share for the Stock covered by a Stock Option granted pursuant to this Section 5 shall be determined by the Administrator at the time of grant but shall not be less than 100 percent (100%) of the Fair Market Value on the date of grant. Notwithstanding the foregoing, Stock Options may be granted with an exercise price per share that is less than 100 percent (100%) of the Fair Market Value on the date of grant (i) pursuant to a transaction described in, and in a manner consistent with, Section 424(a) of the Code, (ii) to individuals who are not subject to U.S. income tax on the date of grant or (iii) if the Stock Option is otherwise exempt from or compliant with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Option Term</w:t>
      </w:r>
      <w:r>
        <w:rPr>
          <w:rFonts w:ascii="Times New Roman" w:hAnsi="Times New Roman"/>
          <w:color w:val="000000"/>
          <w:sz w:val="24"/>
        </w:rPr>
        <w:t xml:space="preserve">. The term of each Stock Option shall be fixed by the Administrator, but no Stock Option shall be exercisable more than ten years after the date the Stock Option is granted.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Exercisability; Rights of a Stockholder</w:t>
      </w:r>
      <w:r>
        <w:rPr>
          <w:rFonts w:ascii="Times New Roman" w:hAnsi="Times New Roman"/>
          <w:color w:val="000000"/>
          <w:sz w:val="24"/>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Method of Exercise</w:t>
      </w:r>
      <w:r>
        <w:rPr>
          <w:rFonts w:ascii="Times New Roman" w:hAnsi="Times New Roman"/>
          <w:color w:val="000000"/>
          <w:sz w:val="24"/>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cash, by certified or bank check or other instrument acceptable to the Administrator;</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Through the delivery (or attestation to the ownership following such procedures as the Company may prescribe) of shares of Stock that are not then subject to restrictions under any Company plan. Such surrendered shares shall be valued at Fair Market Value on the exercise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a “net exercise” arrangement pursuant to which the Company will reduce the number of shares of Stock issuable upon exercise by the largest whole number of shares with a Fair Market Value that does not exceed the aggregate exercise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Agreement or applicable provisions of laws (including the satisfaction of any taxes that the Company or an Affiliate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6.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STOCK APPRECIATION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Award of Stock Appreciation Rights</w:t>
      </w:r>
      <w:r>
        <w:rPr>
          <w:rFonts w:ascii="Times New Roman" w:hAnsi="Times New Roman"/>
          <w:color w:val="000000"/>
          <w:sz w:val="24"/>
        </w:rPr>
        <w:t>.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Exercise Price of Stock Appreciation Rights</w:t>
      </w:r>
      <w:r>
        <w:rPr>
          <w:rFonts w:ascii="Times New Roman" w:hAnsi="Times New Roman"/>
          <w:color w:val="000000"/>
          <w:sz w:val="24"/>
        </w:rPr>
        <w:t>. The exercise price of a Stock Appreciation Right shall not be less than 100 percent (100%) of the Fair Market Value of the Stock on the date of grant. Notwithstanding the foregoing, Stock Appreciation Rights may be granted with an exercise price per share that is less than 100 percent (100%) of the Fair Market Value on the date of grant (i) pursuant to a transaction described in, and in a manner consistent with, Section 424(a) of the Code, (ii) to individuals who are not subject to U.S. income tax on the date of grant or (iii) if the Stock Appreciation Rights is otherwise exempt from or compliant with Section 409A.</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Grant and Exercise of Stock Appreciation Rights</w:t>
      </w:r>
      <w:r>
        <w:rPr>
          <w:rFonts w:ascii="Times New Roman" w:hAnsi="Times New Roman"/>
          <w:color w:val="000000"/>
          <w:sz w:val="24"/>
        </w:rPr>
        <w:t>. Stock Appreciation Rights may be granted by the Administrator independently of any Stock Option granted pursuant to Section 5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Terms and Conditions of Stock Appreciation Rights</w:t>
      </w:r>
      <w:r>
        <w:rPr>
          <w:rFonts w:ascii="Times New Roman" w:hAnsi="Times New Roman"/>
          <w:color w:val="000000"/>
          <w:sz w:val="24"/>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7.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RESTRICTED STOCK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Nature of Restricted Stock Awards</w:t>
      </w:r>
      <w:r>
        <w:rPr>
          <w:rFonts w:ascii="Times New Roman" w:hAnsi="Times New Roman"/>
          <w:color w:val="000000"/>
          <w:sz w:val="24"/>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Rights as a Stockholder</w:t>
      </w:r>
      <w:r>
        <w:rPr>
          <w:rFonts w:ascii="Times New Roman" w:hAnsi="Times New Roman"/>
          <w:color w:val="000000"/>
          <w:sz w:val="24"/>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vesting conditions, any dividends paid by the Company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Restrictions</w:t>
      </w:r>
      <w:r>
        <w:rPr>
          <w:rFonts w:ascii="Times New Roman" w:hAnsi="Times New Roman"/>
          <w:color w:val="000000"/>
          <w:sz w:val="24"/>
        </w:rPr>
        <w:t>. 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15 below, in writing after the Award is issued, if a grantee’s employment (or other Service Relationship) with the Company and its Affiliates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Vesting of Restricted Shares</w:t>
      </w:r>
      <w:r>
        <w:rPr>
          <w:rFonts w:ascii="Times New Roman" w:hAnsi="Times New Roman"/>
          <w:color w:val="000000"/>
          <w:sz w:val="24"/>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8.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RESTRICTED STOCK UNITS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Nature of Restricted Stock Units</w:t>
      </w:r>
      <w:r>
        <w:rPr>
          <w:rFonts w:ascii="Times New Roman" w:hAnsi="Times New Roman"/>
          <w:color w:val="000000"/>
          <w:sz w:val="24"/>
        </w:rPr>
        <w:t>.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Restricted Stock Units with deferred settlement dates are subject to Section 409A and shall contain such additional terms and conditions as the Administrator shall determine in its sole discretion in order to comply with the requirements of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Rights as a Stockholder</w:t>
      </w:r>
      <w:r>
        <w:rPr>
          <w:rFonts w:ascii="Times New Roman" w:hAnsi="Times New Roman"/>
          <w:color w:val="000000"/>
          <w:sz w:val="24"/>
        </w:rPr>
        <w:t xml:space="preserve">.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10 and such terms and conditions as the Administrator may determine.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w:t>
      </w:r>
      <w:r>
        <w:rPr>
          <w:rFonts w:ascii="Times New Roman" w:hAnsi="Times New Roman"/>
          <w:color w:val="000000"/>
          <w:sz w:val="24"/>
        </w:rPr>
        <w:t>. Except as may otherwise be provided by the Administrator either in the Award Agreement or, subject to Section 15 below, in writing after the Award is issued, a grantee’s right in all Restricted Stock Units that have not vested shall automatically terminate upon the grantee’s termination of employment (or cessation of Service Relationship) with the Company and its Affiliates for any reason.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9.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UNRESTRICTED STOCK AWARDS</w:t>
      </w:r>
    </w:p>
    <w:p>
      <w:pPr>
        <w:pStyle w:val="TextBody"/>
        <w:bidi w:val="0"/>
        <w:spacing w:before="0" w:after="240"/>
        <w:jc w:val="both"/>
        <w:rPr>
          <w:rFonts w:ascii="Times New Roman" w:hAnsi="Times New Roman"/>
          <w:sz w:val="24"/>
        </w:rPr>
      </w:pPr>
      <w:r>
        <w:rPr>
          <w:rFonts w:ascii="Times New Roman" w:hAnsi="Times New Roman"/>
          <w:color w:val="000000"/>
          <w:sz w:val="24"/>
          <w:u w:val="single"/>
        </w:rPr>
        <w:t>Grant or Sale of Unrestricted Stock</w:t>
      </w:r>
      <w:r>
        <w:rPr>
          <w:rFonts w:ascii="Times New Roman" w:hAnsi="Times New Roman"/>
          <w:color w:val="000000"/>
          <w:sz w:val="24"/>
        </w:rPr>
        <w:t xml:space="preserve">.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10.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DIVIDEND EQUIVALENT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Dividend Equivalent Rights</w:t>
      </w:r>
      <w:r>
        <w:rPr>
          <w:rFonts w:ascii="Times New Roman" w:hAnsi="Times New Roman"/>
          <w:color w:val="000000"/>
          <w:sz w:val="24"/>
        </w:rPr>
        <w:t xml:space="preserve">.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w:t>
      </w:r>
      <w:r>
        <w:rPr>
          <w:rFonts w:ascii="Times New Roman" w:hAnsi="Times New Roman"/>
          <w:color w:val="000000"/>
          <w:sz w:val="24"/>
        </w:rPr>
        <w:t>. Except as may otherwise be provided by the Administrator either in the Award Agreement or, subject to Section 15 below, in writing after the Award is issued, a grantee’s rights in all Dividend Equivalent Rights shall automatically terminate upon the grantee’s termination of employment (or cessation of Service Relationship) with the Company and its Affiliates for any reason.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11.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Transferability of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Transferability</w:t>
      </w:r>
      <w:r>
        <w:rPr>
          <w:rFonts w:ascii="Times New Roman" w:hAnsi="Times New Roman"/>
          <w:color w:val="000000"/>
          <w:sz w:val="24"/>
        </w:rPr>
        <w:t>. Except as provided in Section 11(b) below or otherwise determined by the Administrator,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Administrator Action</w:t>
      </w:r>
      <w:r>
        <w:rPr>
          <w:rFonts w:ascii="Times New Roman" w:hAnsi="Times New Roman"/>
          <w:color w:val="000000"/>
          <w:sz w:val="24"/>
        </w:rPr>
        <w:t>. Notwithstanding Section 11(a), the Administrator, in its discretion, may provide either in the Award Agreement regarding a given Award or by subsequent written approval that the grantee (who is an employee) may transfer his or her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Agreement. In no event may an Award be transferred by a grantee for value.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Family Member</w:t>
      </w:r>
      <w:r>
        <w:rPr>
          <w:rFonts w:ascii="Times New Roman" w:hAnsi="Times New Roman"/>
          <w:color w:val="000000"/>
          <w:sz w:val="24"/>
        </w:rPr>
        <w:t>. For purposes of Section 11(b),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(50%) of the beneficial interest, a foundation in which these persons (or the grantee) control the management of assets, and any other entity in which these persons (or the grantee) own more than 50 percent (50%) of the voting interests.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Designation of Beneficiary</w:t>
      </w:r>
      <w:r>
        <w:rPr>
          <w:rFonts w:ascii="Times New Roman" w:hAnsi="Times New Roman"/>
          <w:color w:val="000000"/>
          <w:sz w:val="24"/>
        </w:rPr>
        <w:t xml:space="preserve">. To the extent permitted by the Company and valid under applicable law, each grantee to whom an Award has been made under the Plan may designate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 or legal heirs.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12.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TAX WITHHOLDING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Payment by Grantee</w:t>
      </w:r>
      <w:r>
        <w:rPr>
          <w:rFonts w:ascii="Times New Roman" w:hAnsi="Times New Roman"/>
          <w:color w:val="000000"/>
          <w:sz w:val="24"/>
        </w:rPr>
        <w:t>. Each grantee shall, no later than the date as of which the value of an Award or of any Stock or other amounts received thereunder first becomes includable in the gross income of the grantee for tax purposes, pay to the Company or any applicable Affiliate, or make arrangements satisfactory to the Administrator regarding payment of, any U.S. and non-U.S. federal, state, or local taxes of any kind required by law to be withheld by the Company or any applicable Affiliate with respect to such income. The Company and its Affiliates shall, to the extent permitted by law, have the right to deduct any such taxes from any payment of any kind otherwise due to the grantee or to satisfy any applicable withholding obligations by any other method of withholding that the Company and its Affiliates deem appropriate. The Company’s obligation to deliver evidence of book entry (or stock certificates) to any grantee is subject to and conditioned on tax withholding obligations being satisfied by the grantee.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Payment in Stock</w:t>
      </w:r>
      <w:r>
        <w:rPr>
          <w:rFonts w:ascii="Times New Roman" w:hAnsi="Times New Roman"/>
          <w:color w:val="000000"/>
          <w:sz w:val="24"/>
        </w:rPr>
        <w:t>. The Administrator may cause any tax withholding obligation of the Company or any applicable Affiliate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any tax withholding obligation of the Company or any applicable Affiliate to be satisfied, in whole or in part, by an arrangement whereby a certain number of shares of Stock issued pursuant to any Award are immediately sold and proceeds from such sale are remitted to the Company or any applicable Affiliate in an amount that would satisfy the withholding amount due.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13.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Section 409A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 The Administrator shall have the authority to interpret and administer the Plan and any Award Agreement in a manner intended to preserve exemption from or compliance with Section 409A, and to take reasonable actions to avoid the imposition of additional taxes.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14.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TERMINATION OF SERVICE RELATIONSHIP, TRANSFER, LEAVE OF ABSENCE, ETC.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 of Service Relationship</w:t>
      </w:r>
      <w:r>
        <w:rPr>
          <w:rFonts w:ascii="Times New Roman" w:hAnsi="Times New Roman"/>
          <w:color w:val="000000"/>
          <w:sz w:val="24"/>
        </w:rPr>
        <w:t xml:space="preserve">. If the grantee’s Service Relationship is with an Affiliate and such Affiliate ceases to be an Affiliate, the grantee shall be deemed to have terminated his or her Service Relationship for purposes of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the Plan, the following events shall not be deemed a termination of a Service Relationship: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transfer to Service Relationship of the Company from an Affiliate or from the Company to an Affiliate, or from one Affiliate to another;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15.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AMENDMENTS AND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Sections 3(b) or 3(c), without prior stockholder approval, in no event may the Administrator exercise its discretion to reduce the exercise price of outstanding Stock Options or Stock Appreciation Rights, effect the repricing of such Awards through cancellation and re-grants or cancel such Awards in exchange for cash or other Awards. Nothing in this Section 15 shall limit the Administrator’s authority to take any action permitted pursuant to Section 3(b) or 3(c).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16.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STATUS OF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 respect to the portion of any Award that has not been exercised or settled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that the existence of such trusts or other arrangements is consistent with the foregoing sentence.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17.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GENERAL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Distribution</w:t>
      </w:r>
      <w:r>
        <w:rPr>
          <w:rFonts w:ascii="Times New Roman" w:hAnsi="Times New Roman"/>
          <w:color w:val="000000"/>
          <w:sz w:val="24"/>
        </w:rPr>
        <w:t>. The Administrator may require each person acquiring Stock pursuant to an Award to represent to and agree with the Company in writing that such person is acquiring the shares without a view to distribution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Issuance of Stock</w:t>
      </w:r>
      <w:r>
        <w:rPr>
          <w:rFonts w:ascii="Times New Roman" w:hAnsi="Times New Roman"/>
          <w:color w:val="000000"/>
          <w:sz w:val="24"/>
        </w:rPr>
        <w:t xml:space="preserve">.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Stockholder Rights</w:t>
      </w:r>
      <w:r>
        <w:rPr>
          <w:rFonts w:ascii="Times New Roman" w:hAnsi="Times New Roman"/>
          <w:color w:val="000000"/>
          <w:sz w:val="24"/>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Other Incentive Arrangements; No Rights to Continued Service Relationship</w:t>
      </w:r>
      <w:r>
        <w:rPr>
          <w:rFonts w:ascii="Times New Roman" w:hAnsi="Times New Roman"/>
          <w:color w:val="000000"/>
          <w:sz w:val="24"/>
        </w:rPr>
        <w:t>. Nothing contained in this Plan shall prevent the Board from adopting other or additional incentive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Trading Policy Restrictions</w:t>
      </w:r>
      <w:r>
        <w:rPr>
          <w:rFonts w:ascii="Times New Roman" w:hAnsi="Times New Roman"/>
          <w:color w:val="000000"/>
          <w:sz w:val="24"/>
        </w:rPr>
        <w:t>. Option exercises and other Awards under the Plan shall be subject to the Company’s insider trading policies and procedures, as in effect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Clawback Policy</w:t>
      </w:r>
      <w:r>
        <w:rPr>
          <w:rFonts w:ascii="Times New Roman" w:hAnsi="Times New Roman"/>
          <w:color w:val="000000"/>
          <w:sz w:val="24"/>
        </w:rPr>
        <w:t xml:space="preserve">. Awards under the Plan shall be subject to the Company’s clawback policy, as in effect from time to time. In addition, the Administrator may impose such other clawback, recovery, or recoupment provisions in an Award Agreement as the Administrator determines necessary or appropriate, including, but not limited to, a reacquisition right in respect of previously acquired shares of Stock or other cash or property upon the occurrence of a termination for “cause” under any agreement with the Company or an Affiliate thereof. No recovery of compensation under such a clawback policy will be an event giving rise to a right to resign for “good reason” or “constructive termination” (or similar term) under any agreement with the Company or an Affiliate thereof.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Fractional Shares</w:t>
      </w:r>
      <w:r>
        <w:rPr>
          <w:rFonts w:ascii="Times New Roman" w:hAnsi="Times New Roman"/>
          <w:color w:val="000000"/>
          <w:sz w:val="24"/>
        </w:rPr>
        <w:t>. No fractional Shares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cancelled, terminated or otherwise eliminated.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18. </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EFFECTIVE DATE OF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Plan shall become effective upon approval by the Board.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SECTION 19.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GOVERNING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pStyle w:val="TextBody"/>
        <w:bidi w:val="0"/>
        <w:spacing w:before="360" w:after="240"/>
        <w:jc w:val="left"/>
        <w:rPr>
          <w:rFonts w:ascii="Times New Roman" w:hAnsi="Times New Roman"/>
          <w:color w:val="000000"/>
          <w:sz w:val="24"/>
        </w:rPr>
      </w:pPr>
      <w:r>
        <w:rPr>
          <w:rFonts w:ascii="Times New Roman" w:hAnsi="Times New Roman"/>
          <w:color w:val="000000"/>
          <w:sz w:val="24"/>
        </w:rPr>
        <w:t>DATE APPROVED BY BOARD OF DIRECTORS: August 21, 2026</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9" w:name="apmd-ex99_2.htm"/>
      <w:bookmarkStart w:id="10" w:name="ksapmdex99_2"/>
      <w:bookmarkEnd w:id="9"/>
      <w:bookmarkEnd w:id="10"/>
      <w:r>
        <w:rPr/>
        <w:t> </w:t>
      </w:r>
      <w:r>
        <w:br w:type="page"/>
      </w:r>
    </w:p>
    <w:p>
      <w:pPr>
        <w:pStyle w:val="TextBody"/>
        <w:bidi w:val="0"/>
        <w:jc w:val="center"/>
        <w:rPr>
          <w:rFonts w:ascii="Times New Roman" w:hAnsi="Times New Roman"/>
          <w:b/>
          <w:color w:val="000000"/>
          <w:sz w:val="28"/>
        </w:rPr>
      </w:pPr>
      <w:r>
        <w:rPr>
          <w:rFonts w:ascii="Times New Roman" w:hAnsi="Times New Roman"/>
          <w:b/>
          <w:color w:val="000000"/>
          <w:sz w:val="28"/>
        </w:rPr>
        <w:t>NON-QUALIFIED STOCK OPTION AGREEMENT</w:t>
      </w:r>
    </w:p>
    <w:p>
      <w:pPr>
        <w:pStyle w:val="TextBody"/>
        <w:bidi w:val="0"/>
        <w:spacing w:before="0" w:after="480"/>
        <w:jc w:val="center"/>
        <w:rPr>
          <w:rFonts w:ascii="Times New Roman" w:hAnsi="Times New Roman"/>
          <w:b/>
          <w:color w:val="000000"/>
          <w:sz w:val="28"/>
        </w:rPr>
      </w:pPr>
      <w:r>
        <w:rPr>
          <w:rFonts w:ascii="Times New Roman" w:hAnsi="Times New Roman"/>
          <w:b/>
          <w:color w:val="000000"/>
          <w:sz w:val="28"/>
        </w:rPr>
        <w:t>UNDER THE APNIMED, INC.</w:t>
        <w:br/>
        <w:t>2026 INDUCEMENT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Name of Optionee: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 of Option Shares: </w:t>
      </w:r>
    </w:p>
    <w:p>
      <w:pPr>
        <w:pStyle w:val="TextBody"/>
        <w:bidi w:val="0"/>
        <w:jc w:val="left"/>
        <w:rPr>
          <w:rFonts w:ascii="Times New Roman" w:hAnsi="Times New Roman"/>
          <w:sz w:val="24"/>
        </w:rPr>
      </w:pPr>
      <w:r>
        <w:rPr>
          <w:rFonts w:ascii="Times New Roman" w:hAnsi="Times New Roman"/>
          <w:color w:val="000000"/>
          <w:sz w:val="24"/>
        </w:rPr>
        <w:t>Option Exercise Price per Share: $</w:t>
      </w:r>
      <w:r>
        <w:rPr>
          <w:rFonts w:ascii="Times New Roman" w:hAnsi="Times New Roman"/>
          <w:color w:val="000000"/>
          <w:sz w:val="24"/>
          <w:u w:val="single"/>
        </w:rPr>
        <w:t xml:space="preserve"> </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 xml:space="preserve">Grant Date: </w:t>
      </w:r>
    </w:p>
    <w:p>
      <w:pPr>
        <w:pStyle w:val="TextBody"/>
        <w:bidi w:val="0"/>
        <w:jc w:val="left"/>
        <w:rPr>
          <w:rFonts w:ascii="Times New Roman" w:hAnsi="Times New Roman"/>
          <w:color w:val="000000"/>
          <w:sz w:val="24"/>
        </w:rPr>
      </w:pPr>
      <w:r>
        <w:rPr>
          <w:rFonts w:ascii="Times New Roman" w:hAnsi="Times New Roman"/>
          <w:color w:val="000000"/>
          <w:sz w:val="24"/>
        </w:rPr>
        <w:t xml:space="preserve">Expiration Date: </w:t>
      </w:r>
    </w:p>
    <w:p>
      <w:pPr>
        <w:pStyle w:val="TextBody"/>
        <w:bidi w:val="0"/>
        <w:spacing w:before="480" w:after="240"/>
        <w:jc w:val="both"/>
        <w:rPr>
          <w:rFonts w:ascii="Times New Roman" w:hAnsi="Times New Roman"/>
          <w:color w:val="000000"/>
          <w:sz w:val="24"/>
        </w:rPr>
      </w:pPr>
      <w:r>
        <w:rPr>
          <w:rFonts w:ascii="Times New Roman" w:hAnsi="Times New Roman"/>
          <w:color w:val="000000"/>
          <w:sz w:val="24"/>
        </w:rPr>
        <w:t>Pursuant to the Apnimed, Inc. 2026 Inducement Plan as amended through the date hereof (the “Plan”), Apnimed, Inc. (the “Company”) hereby grants to the Optionee named above an option (the “Stock Option”) to purchase on or prior to the Expiration Date specified above all or part of the number of shares of Common Stock, par value $0.00001 per share (the “Stock”), of the Company specified above at the Option Exercise Price per Share specified above subject to the terms and conditions set forth herein and in the Plan. For the avoidance of doubt, this Award is not issued under the Company’s 2026 Stock Option and Incentive Plan, as amended from time to time, and does not reduce the share reserve under such equity plan. This Award has been granted as an inducement pursuant to Rule 5635(c)(4) of the Marketplace Rules of The Nasdaq Stock Market LLC. This Stock Option is not intended to be an “incentive stock option” under Section 422 of the Internal Revenue Code of 1986,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Exercisability Schedule</w:t>
      </w:r>
      <w:r>
        <w:rPr>
          <w:rFonts w:ascii="Times New Roman" w:hAnsi="Times New Roman"/>
          <w:color w:val="000000"/>
          <w:sz w:val="24"/>
        </w:rPr>
        <w:t xml:space="preserve">.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 ___________________, so long as the Optionee continues to have a Service Relationship with the Company or a Subsidiary on such dates.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Once exercisable, this Stock Option shall continue to be exercisable at any time or times prior to the close of business on the Expiration Date, subject to the provisions hereof and of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sz w:val="24"/>
        </w:rPr>
      </w:pPr>
      <w:r>
        <w:rPr>
          <w:rFonts w:ascii="Times New Roman" w:hAnsi="Times New Roman"/>
          <w:color w:val="000000"/>
          <w:sz w:val="24"/>
          <w:u w:val="single"/>
        </w:rPr>
        <w:t>Manner of Exercise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of Stock attested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other provision hereof or of the Plan, no portion of this Stock Option shall be exercisable after the Expiration Date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 of Service Relationship</w:t>
      </w:r>
      <w:r>
        <w:rPr>
          <w:rFonts w:ascii="Times New Roman" w:hAnsi="Times New Roman"/>
          <w:color w:val="000000"/>
          <w:sz w:val="24"/>
        </w:rPr>
        <w:t>. If the Optionee’s Service Relationship with the Company or a Subsidiary (as defined in the Plan) is terminated, the period within which to exercise the Stock Option may be subject to earlier termination as set forth below.</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 Due to Death</w:t>
      </w:r>
      <w:r>
        <w:rPr>
          <w:rFonts w:ascii="Times New Roman" w:hAnsi="Times New Roman"/>
          <w:color w:val="000000"/>
          <w:sz w:val="24"/>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 Due to Disability</w:t>
      </w:r>
      <w:r>
        <w:rPr>
          <w:rFonts w:ascii="Times New Roman" w:hAnsi="Times New Roman"/>
          <w:color w:val="000000"/>
          <w:sz w:val="24"/>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twelve (12) months from the date the Optionee’s Service Relationship is terminated by reason of the Optionee’s disability or until the Expiration Date, if earlier. Any portion of this Stock Option that is not exercisable on the date of the termination of the Optionee’s Service Relationship by reason of the Optionee’s disability shall terminate immediately and be of no further force or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 for Cause</w:t>
      </w:r>
      <w:r>
        <w:rPr>
          <w:rFonts w:ascii="Times New Roman" w:hAnsi="Times New Roman"/>
          <w:color w:val="000000"/>
          <w:sz w:val="24"/>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Other Termination</w:t>
      </w:r>
      <w:r>
        <w:rPr>
          <w:rFonts w:ascii="Times New Roman" w:hAnsi="Times New Roman"/>
          <w:color w:val="000000"/>
          <w:sz w:val="24"/>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(3)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Administrator’s determination of the reason for termination of the Optionee’s Service Relationship with the Company or a Subsidiary shall be conclusive and binding on the Optionee and his or her representatives or legatees.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Incorporation of Plan</w:t>
      </w:r>
      <w:r>
        <w:rPr>
          <w:rFonts w:ascii="Times New Roman" w:hAnsi="Times New Roman"/>
          <w:color w:val="000000"/>
          <w:sz w:val="24"/>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Transferability</w:t>
      </w:r>
      <w:r>
        <w:rPr>
          <w:rFonts w:ascii="Times New Roman" w:hAnsi="Times New Roman"/>
          <w:color w:val="000000"/>
          <w:sz w:val="24"/>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Tax Withholding</w:t>
      </w:r>
      <w:r>
        <w:rPr>
          <w:rFonts w:ascii="Times New Roman" w:hAnsi="Times New Roman"/>
          <w:color w:val="000000"/>
          <w:sz w:val="24"/>
        </w:rPr>
        <w:t xml:space="preserve">.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Obligation to Continue Service Relationship</w:t>
      </w:r>
      <w:r>
        <w:rPr>
          <w:rFonts w:ascii="Times New Roman" w:hAnsi="Times New Roman"/>
          <w:color w:val="000000"/>
          <w:sz w:val="24"/>
        </w:rPr>
        <w:t>. Neither the Company nor any Subsidiary is obligated by or as a result of the Plan or this Agreement to continue the Optionee in a Service Relationship with the Company or any Subsidiary and neither the Plan nor this Agreement shall interfere in any way with the right of the Company or any Subsidiary to terminate the Optionee’s Service Relationship with the Company or a Subsidiary at any time.</w:t>
      </w:r>
      <w:r>
        <w:rPr>
          <w:rFonts w:ascii="Times New Roman" w:hAnsi="Times New Roman"/>
          <w:color w:val="000000"/>
          <w:sz w:val="24"/>
          <w:u w:val="single"/>
        </w:rPr>
        <w:t>Integration</w:t>
      </w:r>
      <w:r>
        <w:rPr>
          <w:rFonts w:ascii="Times New Roman" w:hAnsi="Times New Roman"/>
          <w:color w:val="000000"/>
          <w:sz w:val="24"/>
        </w:rPr>
        <w:t>. This Agreement constitutes the entire agreement between the parties with respect to this Stock Option and supersedes all prior agreements and discussions between the parties concerning such subject matter.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Data Privacy Consent</w:t>
      </w:r>
      <w:r>
        <w:rPr>
          <w:rFonts w:ascii="Times New Roman" w:hAnsi="Times New Roman"/>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Notices</w:t>
      </w:r>
      <w:r>
        <w:rPr>
          <w:rFonts w:ascii="Times New Roman" w:hAnsi="Times New Roman"/>
          <w:color w:val="000000"/>
          <w:sz w:val="24"/>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Clawback Acknowledgement</w:t>
      </w:r>
      <w:r>
        <w:rPr>
          <w:rFonts w:ascii="Times New Roman" w:hAnsi="Times New Roman"/>
          <w:color w:val="000000"/>
          <w:sz w:val="24"/>
        </w:rPr>
        <w:t xml:space="preserve">. The Optionee acknowledges that the Optionee may become subject to the Apnimed, Inc. Compensation Recovery Policy adopted pursuant to Rule 10D-1 promulgated under the Exchange Act and Nasdaq Rule 5608, or any successor rule (the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0" w:after="240"/>
        <w:jc w:val="both"/>
        <w:rPr/>
      </w:pPr>
      <w:r>
        <w:rPr>
          <w:color w:val="000000"/>
        </w:rPr>
        <w:t>“</w:t>
      </w:r>
      <w:r>
        <w:rPr>
          <w:rFonts w:ascii="Times New Roman" w:hAnsi="Times New Roman"/>
          <w:color w:val="000000"/>
          <w:sz w:val="24"/>
        </w:rPr>
        <w:t>Clawback Policy”).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employment or service with the Company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Good Reason (as defined under such Optionee’s employment or other compensation agreement) or serve as a basis for a claim of constructive termination under any benefits or compensation arrangement applicable to the Optionee or (ii) to constitute a breach of a contract or other arrangement to which the Optionee is a party. This Section 12 is a material term of this Agreement.]</w:t>
      </w:r>
      <w:r>
        <w:rPr>
          <w:rFonts w:ascii="Times New Roman" w:hAnsi="Times New Roman"/>
          <w:color w:val="000000"/>
          <w:sz w:val="16"/>
        </w:rPr>
        <w:t>1</w:t>
      </w:r>
      <w:r>
        <w:rPr>
          <w:rFonts w:ascii="Times New Roman" w:hAnsi="Times New Roman"/>
          <w:color w:val="000000"/>
          <w:sz w:val="24"/>
        </w:rPr>
        <w:t xml:space="preserve"> </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Apnimed, Inc.</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Title:</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jc w:val="left"/>
        <w:rPr>
          <w:rFonts w:ascii="Times New Roman" w:hAnsi="Times New Roman"/>
          <w:color w:val="000000"/>
          <w:sz w:val="24"/>
        </w:rPr>
      </w:pPr>
      <w:r>
        <w:rPr>
          <w:rFonts w:ascii="Times New Roman" w:hAnsi="Times New Roman"/>
          <w:color w:val="000000"/>
          <w:sz w:val="24"/>
        </w:rPr>
        <w:t xml:space="preserve">Dated: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Optionee’s Signature</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Optionee’s name and address:</w:t>
      </w:r>
    </w:p>
    <w:p>
      <w:pPr>
        <w:pStyle w:val="HorizontalLine"/>
        <w:pBdr>
          <w:bottom w:val="double" w:sz="2" w:space="0" w:color="808080"/>
        </w:pBdr>
        <w:bidi w:val="0"/>
        <w:spacing w:before="0" w:after="283"/>
        <w:jc w:val="left"/>
        <w:rPr/>
      </w:pPr>
      <w:r>
        <w:rPr/>
      </w:r>
    </w:p>
    <w:p>
      <w:pPr>
        <w:pStyle w:val="TextBody"/>
        <w:bidi w:val="0"/>
        <w:spacing w:lineRule="auto" w:line="360" w:before="0" w:after="12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b/>
          <w:color w:val="000000"/>
          <w:sz w:val="20"/>
        </w:rPr>
        <w:t>Note to Draft</w:t>
      </w:r>
      <w:r>
        <w:rPr>
          <w:rFonts w:ascii="Times New Roman" w:hAnsi="Times New Roman"/>
          <w:color w:val="000000"/>
          <w:sz w:val="20"/>
        </w:rPr>
        <w:t xml:space="preserve">: For Section 16 officers only.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11" w:name="apmd-ex99_3.htm"/>
      <w:bookmarkStart w:id="12" w:name="ksapmdex99_3"/>
      <w:bookmarkEnd w:id="11"/>
      <w:bookmarkEnd w:id="12"/>
      <w:r>
        <w:rPr/>
        <w:t> </w:t>
      </w:r>
      <w:r>
        <w:br w:type="page"/>
      </w:r>
    </w:p>
    <w:p>
      <w:pPr>
        <w:pStyle w:val="TextBody"/>
        <w:bidi w:val="0"/>
        <w:spacing w:before="0" w:after="480"/>
        <w:jc w:val="center"/>
        <w:rPr>
          <w:rFonts w:ascii="Times New Roman" w:hAnsi="Times New Roman"/>
          <w:b/>
          <w:caps/>
          <w:color w:val="000000"/>
          <w:sz w:val="28"/>
        </w:rPr>
      </w:pPr>
      <w:r>
        <w:rPr>
          <w:rFonts w:ascii="Times New Roman" w:hAnsi="Times New Roman"/>
          <w:b/>
          <w:caps/>
          <w:color w:val="000000"/>
          <w:sz w:val="28"/>
        </w:rPr>
        <w:t>RESTRICTED STOCK UNIT AWARD AGREEMENT</w:t>
        <w:br/>
        <w:t>UNDER the apnimed, inc.</w:t>
        <w:br/>
        <w:t>2026 INDUCEMENT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Name of Grantee: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 of Restricted Stock Units: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Grant Date: </w:t>
      </w:r>
    </w:p>
    <w:p>
      <w:pPr>
        <w:pStyle w:val="TextBody"/>
        <w:bidi w:val="0"/>
        <w:spacing w:before="240" w:after="240"/>
        <w:jc w:val="both"/>
        <w:rPr>
          <w:rFonts w:ascii="Times New Roman" w:hAnsi="Times New Roman"/>
          <w:sz w:val="20"/>
        </w:rPr>
      </w:pPr>
      <w:r>
        <w:rPr>
          <w:rFonts w:ascii="Times New Roman" w:hAnsi="Times New Roman"/>
          <w:color w:val="000000"/>
          <w:sz w:val="24"/>
        </w:rPr>
        <w:t>Pursuant to the Apnimed, Inc. 2026 Inducement Plan as amended through the date hereof (the “Plan”), Apnimed, Inc. (the “Company”) hereby grants an award of the number of Restricted Stock Units listed above (an “Award”) to the Grantee named above. Each Restricted Stock Unit shall relate to one share of Common Stock, par value $0.00001 per share (the “Stock”) of the Company.</w:t>
      </w:r>
      <w:r>
        <w:rPr>
          <w:rFonts w:ascii="Times New Roman" w:hAnsi="Times New Roman"/>
          <w:color w:val="000000"/>
          <w:sz w:val="20"/>
        </w:rPr>
        <w:t xml:space="preserve"> </w:t>
      </w:r>
      <w:r>
        <w:rPr>
          <w:rFonts w:ascii="Times New Roman" w:hAnsi="Times New Roman"/>
          <w:color w:val="000000"/>
          <w:sz w:val="24"/>
        </w:rPr>
        <w:t>For the avoidance of doubt, this Award is not issued under the Company’s 2026 Stock Option and Incentive Plan, as amended from time to time, and does not reduce the share reserve under such equity plan. This Award has been granted as an inducement pursuant to Rule 5635(c)(4) of the Marketplace Rules of The Nasdaq Stock Market LLC.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Restrictions on Transfer of Award</w:t>
      </w:r>
      <w:r>
        <w:rPr>
          <w:rFonts w:ascii="Times New Roman" w:hAnsi="Times New Roman"/>
          <w:color w:val="000000"/>
          <w:sz w:val="24"/>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Vesting of Restricted Stock Units</w:t>
      </w:r>
      <w:r>
        <w:rPr>
          <w:rFonts w:ascii="Times New Roman" w:hAnsi="Times New Roman"/>
          <w:color w:val="000000"/>
          <w:sz w:val="24"/>
        </w:rPr>
        <w:t>. The restrictions and conditions of Paragraph 1 of this Agreement shall lapse as follows: ______________________ (each such date, a “Vesting Date”), so long as the Grantee continues to have a Service Relationship with the Company or a Subsidiary on such Vesting Dates. If a series of Vesting Dates is specified, then the restrictions and conditions in Paragraph 1 shall lapse only with respect to the number of Restricted Stock Units specified as vested on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Administrator may at any time accelerate the vesting schedule specified in this Paragraph 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Termination of Service Relationship</w:t>
      </w:r>
      <w:r>
        <w:rPr>
          <w:rFonts w:ascii="Times New Roman" w:hAnsi="Times New Roman"/>
          <w:color w:val="000000"/>
          <w:sz w:val="24"/>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Issuance of Shares of Stock</w:t>
      </w:r>
      <w:r>
        <w:rPr>
          <w:rFonts w:ascii="Times New Roman" w:hAnsi="Times New Roman"/>
          <w:color w:val="000000"/>
          <w:sz w:val="24"/>
        </w:rPr>
        <w:t xml:space="preserve">. As soon as practicable following each Vesting Date (but in no event later than two and one-half months after the end of the year in which the Vesting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Incorporation of Plan</w:t>
      </w:r>
      <w:r>
        <w:rPr>
          <w:rFonts w:ascii="Times New Roman" w:hAnsi="Times New Roman"/>
          <w:color w:val="000000"/>
          <w:sz w:val="24"/>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Tax Withholding</w:t>
      </w:r>
      <w:r>
        <w:rPr>
          <w:rFonts w:ascii="Times New Roman" w:hAnsi="Times New Roman"/>
          <w:color w:val="000000"/>
          <w:sz w:val="24"/>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Unless otherwise determined by the Administrator, the Company’s tax withholding obligation shall be satisfied in full by an arrangement whereby (i) the Company shall issue to a broker designated by the Company and acting on behalf and for the account of the Grantee a number of shares of Stock resulting from the vested Restricted Stock Units sufficient to satisfy the applicable withholding taxes or other required withholdings which arise in connection with such settlement; provided, that the amount sold does not exceed the maximum statutory tax rate or such lesser amount as is necessary to avoid liability accounting treatment, along with any applicable third-party commission (“Sale to Cover”), and (ii) the proceeds of such Sale to Cover shall be remitted to the Company. In the event the proceeds from the Sale to Cover are insufficient to fully satisfy the applicable withholding taxes, the Grantee authorizes withholding from payroll and any other amounts payable to the Grantee, in the same calendar year, and otherwise agrees to make adequate provision through the submission of cash, a check or other valid form of payment accepted by the Company, at its sole discretion for any sums required to satisfy the remaining applicable withholding taxes..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409A of the Code.</w:t>
      </w:r>
      <w:r>
        <w:rPr>
          <w:rFonts w:ascii="Times New Roman" w:hAnsi="Times New Roman"/>
          <w:color w:val="000000"/>
          <w:sz w:val="24"/>
        </w:rPr>
        <w:t xml:space="preserve"> This Agreement shall be interpreted in such a manner that all provisions relating to the settlement of the Award are exempt from the requirements of Section 409A of the Code as “short-term deferrals” as described in Section 409A of the Code. Notwithstanding the foregoing, to the extent this Award is determined to be subject to Section 409A, this Agreement shall be interpreted and administered in a manner intended to comply with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Obligation to Continue Service Relationship</w:t>
      </w:r>
      <w:r>
        <w:rPr>
          <w:rFonts w:ascii="Times New Roman" w:hAnsi="Times New Roman"/>
          <w:color w:val="000000"/>
          <w:sz w:val="24"/>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Grantee’s Service Relationship with the Company or a Subsidiary at any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Integration</w:t>
      </w:r>
      <w:r>
        <w:rPr>
          <w:rFonts w:ascii="Times New Roman" w:hAnsi="Times New Roman"/>
          <w:color w:val="000000"/>
          <w:sz w:val="24"/>
        </w:rPr>
        <w:t>. This Agreement constitutes the entire agreement between the parties with respect to this Award and supersedes all prior agreements and discussions between the parties concerning such subject matter.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Data Privacy Consent</w:t>
      </w:r>
      <w:r>
        <w:rPr>
          <w:rFonts w:ascii="Times New Roman" w:hAnsi="Times New Roman"/>
          <w:color w:val="000000"/>
          <w:sz w:val="24"/>
        </w:rPr>
        <w:t xml:space="preserve">. In order to administer the Plan and this Agreement and to implement or structure future equity grants, the Company, its subsidiaries and affiliates and certain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Notices</w:t>
      </w:r>
      <w:r>
        <w:rPr>
          <w:rFonts w:ascii="Times New Roman" w:hAnsi="Times New Roman"/>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lineRule="auto" w:line="360" w:before="0" w:after="240"/>
        <w:jc w:val="both"/>
        <w:rPr>
          <w:sz w:val="24"/>
        </w:rPr>
      </w:pPr>
      <w:r>
        <w:rPr>
          <w:rFonts w:ascii="Times New Roman" w:hAnsi="Times New Roman"/>
          <w:color w:val="000000"/>
          <w:sz w:val="24"/>
        </w:rPr>
        <w:t>[</w:t>
      </w:r>
      <w:r>
        <w:rPr>
          <w:rFonts w:ascii="Times New Roman" w:hAnsi="Times New Roman"/>
          <w:color w:val="000000"/>
          <w:sz w:val="24"/>
          <w:u w:val="single"/>
        </w:rPr>
        <w:t>Clawback Acknowledgement</w:t>
      </w:r>
      <w:r>
        <w:rPr>
          <w:rFonts w:ascii="Times New Roman" w:hAnsi="Times New Roman"/>
          <w:color w:val="000000"/>
          <w:sz w:val="24"/>
        </w:rPr>
        <w:t>. The Grantee acknowledges that the Grantee may become subject to the Apnimed, Inc. Compensation Recovery Policy adopted pursuant to Rule 10D-1 promulgated under the Exchange Act and Nasdaq Rule 5608, or any successor rule (the “Clawback Policy”).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employment or service with the Company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Good Reason (as defined under such Grantee’s employment or other compensation agreement) or serve as a basis for a claim of constructive termination under any benefits or compensation arrangement applicable to the Grantee, or (ii) to constitute a breach of a contract or other arrangement to which the Grantee is a party. This Section 12 is a material term of this Agreement.]</w:t>
      </w:r>
      <w:r>
        <w:rPr>
          <w:rFonts w:ascii="Times New Roman" w:hAnsi="Times New Roman"/>
          <w:color w:val="000000"/>
          <w:sz w:val="16"/>
        </w:rPr>
        <w:t>1</w:t>
      </w:r>
    </w:p>
    <w:p>
      <w:pPr>
        <w:pStyle w:val="HorizontalLine"/>
        <w:pBdr>
          <w:bottom w:val="double" w:sz="2" w:space="0" w:color="808080"/>
        </w:pBdr>
        <w:bidi w:val="0"/>
        <w:spacing w:before="0" w:after="283"/>
        <w:jc w:val="left"/>
        <w:rPr/>
      </w:pPr>
      <w:r>
        <w:rPr/>
      </w:r>
    </w:p>
    <w:p>
      <w:pPr>
        <w:pStyle w:val="TextBody"/>
        <w:bidi w:val="0"/>
        <w:spacing w:lineRule="auto" w:line="36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b/>
          <w:color w:val="000000"/>
          <w:sz w:val="20"/>
        </w:rPr>
        <w:t>Note to Draft</w:t>
      </w:r>
      <w:r>
        <w:rPr>
          <w:rFonts w:ascii="Times New Roman" w:hAnsi="Times New Roman"/>
          <w:color w:val="000000"/>
          <w:sz w:val="20"/>
        </w:rPr>
        <w:t>: For Section 16 officers only.</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Apnimed, Inc.</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Title:</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jc w:val="left"/>
        <w:rPr>
          <w:rFonts w:ascii="Times New Roman" w:hAnsi="Times New Roman"/>
          <w:color w:val="000000"/>
          <w:sz w:val="24"/>
        </w:rPr>
      </w:pPr>
      <w:r>
        <w:rPr>
          <w:rFonts w:ascii="Times New Roman" w:hAnsi="Times New Roman"/>
          <w:color w:val="000000"/>
          <w:sz w:val="24"/>
        </w:rPr>
        <w:t xml:space="preserve">Dated: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Grantee’s Signature</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Grantee’s name and address:</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3" w:name="apmd-exfiling_fees.htm"/>
      <w:bookmarkStart w:id="14" w:name="ksapmdexfiling_fees"/>
      <w:bookmarkStart w:id="15" w:name="apmd-exfiling_fees.htm"/>
      <w:bookmarkStart w:id="16" w:name="ksapmdexfiling_fees"/>
      <w:bookmarkEnd w:id="15"/>
      <w:bookmarkEnd w:id="16"/>
      <w:r>
        <w:br w:type="page"/>
      </w:r>
    </w:p>
    <w:tbl>
      <w:tblPr>
        <w:tblW w:w="3557" w:type="dxa"/>
        <w:jc w:val="left"/>
        <w:tblInd w:w="0" w:type="dxa"/>
        <w:tblLayout w:type="fixed"/>
        <w:tblCellMar>
          <w:top w:w="28" w:type="dxa"/>
          <w:left w:w="28" w:type="dxa"/>
          <w:bottom w:w="28" w:type="dxa"/>
          <w:right w:w="28" w:type="dxa"/>
        </w:tblCellMar>
      </w:tblPr>
      <w:tblGrid>
        <w:gridCol w:w="3403"/>
        <w:gridCol w:w="154"/>
      </w:tblGrid>
      <w:tr>
        <w:trPr/>
        <w:tc>
          <w:tcPr>
            <w:tcW w:w="355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3"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3" w:type="dxa"/>
            <w:tcBorders/>
            <w:vAlign w:val="center"/>
          </w:tcPr>
          <w:p>
            <w:pPr>
              <w:pStyle w:val="TableContents"/>
              <w:bidi w:val="0"/>
              <w:spacing w:before="0" w:after="283"/>
              <w:jc w:val="left"/>
              <w:rPr>
                <w:b/>
              </w:rPr>
            </w:pPr>
            <w:r>
              <w:rPr>
                <w:b/>
              </w:rPr>
              <w:t xml:space="preserve">Apnimed,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5"/>
        <w:gridCol w:w="1059"/>
        <w:gridCol w:w="1291"/>
        <w:gridCol w:w="1200"/>
        <w:gridCol w:w="1209"/>
        <w:gridCol w:w="1698"/>
        <w:gridCol w:w="1126"/>
        <w:gridCol w:w="142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5"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59"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09"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98"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5" w:type="dxa"/>
            <w:tcBorders/>
            <w:shd w:fill="E7E7E2" w:val="clear"/>
            <w:vAlign w:val="center"/>
          </w:tcPr>
          <w:p>
            <w:pPr>
              <w:pStyle w:val="TableContents"/>
              <w:bidi w:val="0"/>
              <w:spacing w:before="0" w:after="283"/>
              <w:jc w:val="left"/>
              <w:rPr/>
            </w:pPr>
            <w:r>
              <w:rPr/>
              <w:t xml:space="preserve">Equity </w:t>
            </w:r>
          </w:p>
        </w:tc>
        <w:tc>
          <w:tcPr>
            <w:tcW w:w="1059" w:type="dxa"/>
            <w:tcBorders/>
            <w:shd w:fill="E7E7E2" w:val="clear"/>
            <w:vAlign w:val="center"/>
          </w:tcPr>
          <w:p>
            <w:pPr>
              <w:pStyle w:val="TableContents"/>
              <w:bidi w:val="0"/>
              <w:spacing w:before="0" w:after="283"/>
              <w:jc w:val="left"/>
              <w:rPr/>
            </w:pPr>
            <w:r>
              <w:rPr/>
              <w:t xml:space="preserve">Common Stock, par value $0.00001 per share </w:t>
            </w:r>
          </w:p>
        </w:tc>
        <w:tc>
          <w:tcPr>
            <w:tcW w:w="1291" w:type="dxa"/>
            <w:tcBorders/>
            <w:shd w:fill="E7E7E2" w:val="clear"/>
            <w:vAlign w:val="center"/>
          </w:tcPr>
          <w:p>
            <w:pPr>
              <w:pStyle w:val="TableContents"/>
              <w:bidi w:val="0"/>
              <w:spacing w:before="0" w:after="283"/>
              <w:jc w:val="center"/>
              <w:rPr/>
            </w:pPr>
            <w:r>
              <w:rPr/>
              <w:t xml:space="preserve">Other </w:t>
            </w:r>
          </w:p>
        </w:tc>
        <w:tc>
          <w:tcPr>
            <w:tcW w:w="1200" w:type="dxa"/>
            <w:tcBorders/>
            <w:shd w:fill="E7E7E2" w:val="clear"/>
            <w:vAlign w:val="center"/>
          </w:tcPr>
          <w:p>
            <w:pPr>
              <w:pStyle w:val="TableContents"/>
              <w:bidi w:val="0"/>
              <w:spacing w:before="0" w:after="283"/>
              <w:jc w:val="right"/>
              <w:rPr/>
            </w:pPr>
            <w:r>
              <w:rPr/>
              <w:t xml:space="preserve">2,500,000 </w:t>
            </w:r>
          </w:p>
        </w:tc>
        <w:tc>
          <w:tcPr>
            <w:tcW w:w="1209" w:type="dxa"/>
            <w:tcBorders/>
            <w:shd w:fill="E7E7E2" w:val="clear"/>
            <w:vAlign w:val="center"/>
          </w:tcPr>
          <w:p>
            <w:pPr>
              <w:pStyle w:val="TableContents"/>
              <w:bidi w:val="0"/>
              <w:spacing w:before="0" w:after="283"/>
              <w:jc w:val="right"/>
              <w:rPr/>
            </w:pPr>
            <w:r>
              <w:rPr/>
              <w:t xml:space="preserve">$ 26.49 </w:t>
            </w:r>
          </w:p>
        </w:tc>
        <w:tc>
          <w:tcPr>
            <w:tcW w:w="1698" w:type="dxa"/>
            <w:tcBorders/>
            <w:shd w:fill="E7E7E2" w:val="clear"/>
            <w:vAlign w:val="center"/>
          </w:tcPr>
          <w:p>
            <w:pPr>
              <w:pStyle w:val="TableContents"/>
              <w:bidi w:val="0"/>
              <w:spacing w:before="0" w:after="283"/>
              <w:jc w:val="right"/>
              <w:rPr/>
            </w:pPr>
            <w:r>
              <w:rPr/>
              <w:t xml:space="preserve">$ 66,225,000.00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6" w:type="dxa"/>
            <w:tcBorders/>
            <w:shd w:fill="E7E7E2" w:val="clear"/>
            <w:vAlign w:val="center"/>
          </w:tcPr>
          <w:p>
            <w:pPr>
              <w:pStyle w:val="TableContents"/>
              <w:bidi w:val="0"/>
              <w:spacing w:before="0" w:after="283"/>
              <w:jc w:val="right"/>
              <w:rPr/>
            </w:pPr>
            <w:r>
              <w:rPr/>
              <w:t xml:space="preserve">$ 9,145.67 </w:t>
            </w:r>
          </w:p>
        </w:tc>
      </w:tr>
      <w:tr>
        <w:trPr/>
        <w:tc>
          <w:tcPr>
            <w:tcW w:w="4746" w:type="dxa"/>
            <w:gridSpan w:val="5"/>
            <w:tcBorders/>
            <w:vAlign w:val="center"/>
          </w:tcPr>
          <w:p>
            <w:pPr>
              <w:pStyle w:val="TableContents"/>
              <w:bidi w:val="0"/>
              <w:spacing w:before="0" w:after="0"/>
              <w:ind w:left="0" w:right="0" w:hanging="0"/>
              <w:jc w:val="right"/>
              <w:rPr/>
            </w:pPr>
            <w:r>
              <w:rPr/>
              <w:t>Total Offering Amounts:</w:t>
            </w:r>
          </w:p>
        </w:tc>
        <w:tc>
          <w:tcPr>
            <w:tcW w:w="12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0"/>
              <w:ind w:left="0" w:right="0" w:hanging="0"/>
              <w:jc w:val="right"/>
              <w:rPr/>
            </w:pPr>
            <w:bookmarkStart w:id="17" w:name="MaxAggtOfferingPrice"/>
            <w:bookmarkEnd w:id="17"/>
            <w:r>
              <w:rPr/>
              <w:t xml:space="preserve">$ 66,225,000.00 </w:t>
            </w:r>
          </w:p>
        </w:tc>
        <w:tc>
          <w:tcPr>
            <w:tcW w:w="1126" w:type="dxa"/>
            <w:tcBorders/>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8" w:name="TotalFeeAmt"/>
            <w:bookmarkEnd w:id="18"/>
            <w:r>
              <w:rPr/>
              <w:t xml:space="preserve">$ 9,145.67 </w:t>
            </w:r>
          </w:p>
        </w:tc>
      </w:tr>
      <w:tr>
        <w:trPr/>
        <w:tc>
          <w:tcPr>
            <w:tcW w:w="4746" w:type="dxa"/>
            <w:gridSpan w:val="5"/>
            <w:tcBorders/>
            <w:vAlign w:val="center"/>
          </w:tcPr>
          <w:p>
            <w:pPr>
              <w:pStyle w:val="TableContents"/>
              <w:bidi w:val="0"/>
              <w:spacing w:before="0" w:after="0"/>
              <w:ind w:left="0" w:right="0" w:hanging="0"/>
              <w:jc w:val="right"/>
              <w:rPr/>
            </w:pPr>
            <w:r>
              <w:rPr/>
              <w:t xml:space="preserve">Total Fee Offsets: </w:t>
            </w:r>
          </w:p>
        </w:tc>
        <w:tc>
          <w:tcPr>
            <w:tcW w:w="12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19" w:name="TotalOffsetAmt"/>
            <w:bookmarkEnd w:id="19"/>
            <w:r>
              <w:rPr/>
              <w:t xml:space="preserve">$ 0.00 </w:t>
            </w:r>
          </w:p>
        </w:tc>
      </w:tr>
      <w:tr>
        <w:trPr/>
        <w:tc>
          <w:tcPr>
            <w:tcW w:w="4746" w:type="dxa"/>
            <w:gridSpan w:val="5"/>
            <w:tcBorders/>
            <w:vAlign w:val="center"/>
          </w:tcPr>
          <w:p>
            <w:pPr>
              <w:pStyle w:val="TableContents"/>
              <w:bidi w:val="0"/>
              <w:spacing w:before="0" w:after="0"/>
              <w:ind w:left="0" w:right="0" w:hanging="0"/>
              <w:jc w:val="right"/>
              <w:rPr/>
            </w:pPr>
            <w:r>
              <w:rPr/>
              <w:t xml:space="preserve">Net Fee Due: </w:t>
            </w:r>
          </w:p>
        </w:tc>
        <w:tc>
          <w:tcPr>
            <w:tcW w:w="12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20" w:name="NetFeeAmt"/>
            <w:bookmarkEnd w:id="20"/>
            <w:r>
              <w:rPr/>
              <w:t xml:space="preserve">$ 9,145.67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7"/>
        <w:gridCol w:w="870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(1) Pursuant to Rule 416 under the Securities Act of 1933, as amended (the "Securities Act"), this Registration Statement shall also cover any additional shares of common stock, par value $0.00001 per share (the "Common Stock"), which become issuable under the Apnimed, Inc. 2026 Inducement Plan (the "Plan") by reason of any stock dividend, stock split, recapitalization or any other similar transaction effected without the receipt of consideration which results in an increase in the number of the Registrant's outstanding shares of common stock. (2) Estimated in accordance with Rules 457(c) and (h) under the Securities Act solely for the purpose of calculating the registration fee. The price represents the average of the high and low prices of the Common Stock as reported on the Nasdaq Global Select Market on September 1, 2026. (3) Consists of 2,500,000 shares issuable under the Plan, pursuant to such plan.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5648/000119312526316811/apni-20260727.htm" TargetMode="External"/><Relationship Id="rId3" Type="http://schemas.openxmlformats.org/officeDocument/2006/relationships/hyperlink" Target="https://www.sec.gov/Archives/edgar/data/1745648/000119312526328422/apmd_424b4.htm" TargetMode="External"/><Relationship Id="rId4" Type="http://schemas.openxmlformats.org/officeDocument/2006/relationships/hyperlink" Target="https://www.sec.gov/Archives/edgar/data/1745648/000119312526330509/apmd-20260803.htm" TargetMode="External"/><Relationship Id="rId5" Type="http://schemas.openxmlformats.org/officeDocument/2006/relationships/hyperlink" Target="https://www.sec.gov/Archives/edgar/data/1745648/000119312526322198/apmd_8-a12b.htm" TargetMode="External"/><Relationship Id="rId6" Type="http://schemas.openxmlformats.org/officeDocument/2006/relationships/hyperlink" Target="https://www.sec.gov/Archives/edgar/data/1745648/000119312526330509/apmd-ex3_1.htm" TargetMode="External"/><Relationship Id="rId7" Type="http://schemas.openxmlformats.org/officeDocument/2006/relationships/hyperlink" Target="https://www.sec.gov/Archives/edgar/data/1745648/000119312526330509/apmd-ex3_2.htm" TargetMode="External"/><Relationship Id="rId8" Type="http://schemas.openxmlformats.org/officeDocument/2006/relationships/hyperlink" Target="https://www.sec.gov/Archives/edgar/data/1745648/000119312526300909/apni-ex4_3.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15733</Words>
  <Characters>82111</Characters>
  <CharactersWithSpaces>97500</CharactersWithSpaces>
  <Paragraphs>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