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FONTEYNE PAUL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51,890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such option vest and become exercisable when the Reporting Person completes twelve months of continuous service after September 18, 2023,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subject to such option vest and become exercisable when the Reporting Person completes twelve months of continuous service after July 7, 2026,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2063" w:type="dxa"/>
        <w:jc w:val="left"/>
        <w:tblInd w:w="0" w:type="dxa"/>
        <w:tblLayout w:type="fixed"/>
        <w:tblCellMar>
          <w:top w:w="28" w:type="dxa"/>
          <w:left w:w="28" w:type="dxa"/>
          <w:bottom w:w="28" w:type="dxa"/>
          <w:right w:w="28" w:type="dxa"/>
        </w:tblCellMar>
      </w:tblPr>
      <w:tblGrid>
        <w:gridCol w:w="161"/>
        <w:gridCol w:w="17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Paul Fonteyne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Paul Fonteyne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7550"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1113</Words>
  <Characters>6007</Characters>
  <CharactersWithSpaces>7062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