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SEKHRI PAUL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APNIMED,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39 JOHN F. KENNEDY STREET, 4TH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02138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07/30/2026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Apnimed, Inc.</w:t>
              </w:r>
            </w:hyperlink>
            <w:r>
              <w:rPr/>
              <w:t xml:space="preserve"> [ </w:t>
            </w:r>
            <w:r>
              <w:rPr>
                <w:rFonts w:ascii="Times;serif" w:hAnsi="Times;serif"/>
                <w:color w:val="0000FF"/>
                <w:sz w:val="24"/>
                <w:shd w:fill="FFFFFF" w:val="clear"/>
              </w:rPr>
              <w:t>APMD</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663"/>
        <w:gridCol w:w="1223"/>
        <w:gridCol w:w="1129"/>
        <w:gridCol w:w="1340"/>
        <w:gridCol w:w="978"/>
        <w:gridCol w:w="1265"/>
        <w:gridCol w:w="1228"/>
        <w:gridCol w:w="1379"/>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66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31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6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4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7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7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6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05/28/2036</w:t>
            </w:r>
          </w:p>
        </w:tc>
        <w:tc>
          <w:tcPr>
            <w:tcW w:w="13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Common Stock</w:t>
            </w:r>
          </w:p>
        </w:tc>
        <w:tc>
          <w:tcPr>
            <w:tcW w:w="9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169,468</w:t>
            </w:r>
          </w:p>
        </w:tc>
        <w:tc>
          <w:tcPr>
            <w:tcW w:w="12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8.15</w:t>
            </w:r>
          </w:p>
        </w:tc>
        <w:tc>
          <w:tcPr>
            <w:tcW w:w="12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One-third of the shares subject to such option vest and become exercisable when the Reporting Person completes twelve months of continuous service after June 1, 2026, and the remainder of the shares vest and become exercisable in substantially equal quarterly installments for a period of 24 months thereafter, subject to the Reporting Person's continuous service to the Issuer on each such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/s/Kevin R. Lind,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ck0001745648-ex24.htm"/>
      <w:bookmarkStart w:id="3" w:name="ksck0001745648ex24"/>
      <w:bookmarkEnd w:id="2"/>
      <w:bookmarkEnd w:id="3"/>
      <w:r>
        <w:rPr/>
        <w:t> </w:t>
      </w:r>
      <w:r>
        <w:br w:type="page"/>
      </w:r>
    </w:p>
    <w:p>
      <w:pPr>
        <w:pStyle w:val="TextBody"/>
        <w:bidi w:val="0"/>
        <w:jc w:val="center"/>
        <w:rPr>
          <w:rFonts w:ascii="Times New Roman" w:hAnsi="Times New Roman"/>
          <w:b/>
          <w:color w:val="000000"/>
          <w:sz w:val="23"/>
        </w:rPr>
      </w:pPr>
      <w:r>
        <w:rPr>
          <w:rFonts w:ascii="Times New Roman" w:hAnsi="Times New Roman"/>
          <w:b/>
          <w:color w:val="000000"/>
          <w:sz w:val="23"/>
        </w:rPr>
        <w:t>LIMITED POWER OF ATTORNEY</w:t>
      </w:r>
    </w:p>
    <w:p>
      <w:pPr>
        <w:pStyle w:val="TextBody"/>
        <w:bidi w:val="0"/>
        <w:jc w:val="center"/>
        <w:rPr/>
      </w:pPr>
      <w:r>
        <w:rPr/>
        <w:t> </w:t>
      </w:r>
    </w:p>
    <w:p>
      <w:pPr>
        <w:pStyle w:val="TextBody"/>
        <w:bidi w:val="0"/>
        <w:jc w:val="both"/>
        <w:rPr>
          <w:rFonts w:ascii="Times New Roman" w:hAnsi="Times New Roman"/>
          <w:color w:val="000000"/>
          <w:sz w:val="23"/>
        </w:rPr>
      </w:pPr>
      <w:r>
        <w:rPr>
          <w:rFonts w:ascii="Times New Roman" w:hAnsi="Times New Roman"/>
          <w:color w:val="000000"/>
          <w:sz w:val="23"/>
        </w:rPr>
        <w:t>The undersigned hereby constitutes and appoints each of Kevin R. Lind, Michael Kelly, Steven Spector and Bryan Corbett, signing singly, and with full power of substitution, the undersigned's true and lawful attorney-in-fact to:</w:t>
      </w:r>
    </w:p>
    <w:p>
      <w:pPr>
        <w:pStyle w:val="TextBody"/>
        <w:bidi w:val="0"/>
        <w:jc w:val="both"/>
        <w:rPr/>
      </w:pPr>
      <w:r>
        <w:rPr/>
        <w:t> </w:t>
      </w:r>
    </w:p>
    <w:p>
      <w:pPr>
        <w:pStyle w:val="TextBody"/>
        <w:bidi w:val="0"/>
        <w:spacing w:before="0" w:after="0"/>
        <w:jc w:val="both"/>
        <w:rPr>
          <w:rFonts w:ascii="Times New Roman" w:hAnsi="Times New Roman"/>
          <w:color w:val="000000"/>
          <w:sz w:val="23"/>
        </w:rPr>
      </w:pPr>
      <w:r>
        <w:rPr>
          <w:rFonts w:ascii="Times New Roman" w:hAnsi="Times New Roman"/>
          <w:color w:val="000000"/>
          <w:sz w:val="23"/>
        </w:rPr>
        <w:t>(1)</w:t>
      </w:r>
    </w:p>
    <w:p>
      <w:pPr>
        <w:pStyle w:val="TextBody"/>
        <w:bidi w:val="0"/>
        <w:jc w:val="both"/>
        <w:rPr>
          <w:rFonts w:ascii="Times New Roman" w:hAnsi="Times New Roman"/>
          <w:color w:val="000000"/>
          <w:sz w:val="23"/>
        </w:rPr>
      </w:pPr>
      <w:r>
        <w:rPr>
          <w:rFonts w:ascii="Times New Roman" w:hAnsi="Times New Roman"/>
          <w:color w:val="000000"/>
          <w:sz w:val="23"/>
        </w:rPr>
        <w:t>execute for and on behalf of the undersigned, in the undersigned's capacity as an officer and/or director of Apnimed, Inc., a Delaware corporation (the “Company”), from time to time the following U.S. Securities and Exchange Commission (“SEC”) forms: (i) Form 3, Initial Statement of Beneficial Ownership of Securities, including any attached documents; (ii) Form 4, Statement of Changes in Beneficial Ownership of Securities, including any attached documents; (iii) Form 5, Annual Statement of Beneficial Ownership of Securities in accordance with Section 16(a) of the Securities Exchange Act of 1934, as amended, and the rules thereunder, including any attached documents; (iv) Schedule 13D and (v) amendments of each thereof, in accordance with the Securities Exchange Act of 1934, as amended, and the rules thereunder, including any attached documents;</w:t>
      </w:r>
    </w:p>
    <w:p>
      <w:pPr>
        <w:pStyle w:val="TextBody"/>
        <w:bidi w:val="0"/>
        <w:jc w:val="both"/>
        <w:rPr/>
      </w:pPr>
      <w:r>
        <w:rPr/>
        <w:t> </w:t>
      </w:r>
    </w:p>
    <w:p>
      <w:pPr>
        <w:pStyle w:val="TextBody"/>
        <w:bidi w:val="0"/>
        <w:spacing w:before="0" w:after="0"/>
        <w:jc w:val="both"/>
        <w:rPr>
          <w:rFonts w:ascii="Times New Roman" w:hAnsi="Times New Roman"/>
          <w:color w:val="000000"/>
          <w:sz w:val="23"/>
        </w:rPr>
      </w:pPr>
      <w:r>
        <w:rPr>
          <w:rFonts w:ascii="Times New Roman" w:hAnsi="Times New Roman"/>
          <w:color w:val="000000"/>
          <w:sz w:val="23"/>
        </w:rPr>
        <w:t>(2)</w:t>
      </w:r>
    </w:p>
    <w:p>
      <w:pPr>
        <w:pStyle w:val="TextBody"/>
        <w:bidi w:val="0"/>
        <w:jc w:val="both"/>
        <w:rPr>
          <w:rFonts w:ascii="Times New Roman" w:hAnsi="Times New Roman"/>
          <w:color w:val="000000"/>
          <w:sz w:val="23"/>
        </w:rPr>
      </w:pPr>
      <w:r>
        <w:rPr>
          <w:rFonts w:ascii="Times New Roman" w:hAnsi="Times New Roman"/>
          <w:color w:val="000000"/>
          <w:sz w:val="23"/>
        </w:rPr>
        <w:t>do and perform any and all acts for and on behalf of the undersigned which may be necessary or desirable to complete and execute any such Form 3, 4 or 5, Schedule 13D or any amendment(s) thereto, and timely file such form(s) with the SEC and any securities exchange, national association or similar authority; and</w:t>
      </w:r>
    </w:p>
    <w:p>
      <w:pPr>
        <w:pStyle w:val="TextBody"/>
        <w:bidi w:val="0"/>
        <w:jc w:val="both"/>
        <w:rPr/>
      </w:pPr>
      <w:r>
        <w:rPr/>
        <w:t> </w:t>
      </w:r>
    </w:p>
    <w:p>
      <w:pPr>
        <w:pStyle w:val="TextBody"/>
        <w:bidi w:val="0"/>
        <w:spacing w:before="0" w:after="0"/>
        <w:jc w:val="both"/>
        <w:rPr>
          <w:rFonts w:ascii="Times New Roman" w:hAnsi="Times New Roman"/>
          <w:color w:val="000000"/>
          <w:sz w:val="23"/>
        </w:rPr>
      </w:pPr>
      <w:r>
        <w:rPr>
          <w:rFonts w:ascii="Times New Roman" w:hAnsi="Times New Roman"/>
          <w:color w:val="000000"/>
          <w:sz w:val="23"/>
        </w:rPr>
        <w:t>(3)</w:t>
      </w:r>
    </w:p>
    <w:p>
      <w:pPr>
        <w:pStyle w:val="TextBody"/>
        <w:bidi w:val="0"/>
        <w:jc w:val="both"/>
        <w:rPr>
          <w:rFonts w:ascii="Times New Roman" w:hAnsi="Times New Roman"/>
          <w:color w:val="000000"/>
          <w:sz w:val="23"/>
        </w:rPr>
      </w:pPr>
      <w:r>
        <w:rPr>
          <w:rFonts w:ascii="Times New Roman" w:hAnsi="Times New Roman"/>
          <w:color w:val="000000"/>
          <w:sz w:val="23"/>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jc w:val="both"/>
        <w:rPr/>
      </w:pPr>
      <w:r>
        <w:rPr/>
        <w:t> </w:t>
      </w:r>
    </w:p>
    <w:p>
      <w:pPr>
        <w:pStyle w:val="TextBody"/>
        <w:bidi w:val="0"/>
        <w:jc w:val="both"/>
        <w:rPr>
          <w:rFonts w:ascii="Times New Roman" w:hAnsi="Times New Roman"/>
          <w:color w:val="000000"/>
          <w:sz w:val="23"/>
        </w:rPr>
      </w:pPr>
      <w:r>
        <w:rPr>
          <w:rFonts w:ascii="Times New Roman" w:hAnsi="Times New Roman"/>
          <w:color w:val="000000"/>
          <w:sz w:val="23"/>
        </w:rPr>
        <w:t>The undersigned hereby grants to each such attorney-in-fact, acting singly,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 in fact and the Company from and against any demand, damage, loss, cost or expense arising from any false or misleading information provided by the undersigned to the attorney-in fact.</w:t>
      </w:r>
    </w:p>
    <w:p>
      <w:pPr>
        <w:pStyle w:val="TextBody"/>
        <w:bidi w:val="0"/>
        <w:jc w:val="both"/>
        <w:rPr/>
      </w:pPr>
      <w:r>
        <w:rPr/>
        <w:t> </w:t>
      </w:r>
    </w:p>
    <w:p>
      <w:pPr>
        <w:pStyle w:val="TextBody"/>
        <w:bidi w:val="0"/>
        <w:jc w:val="both"/>
        <w:rPr>
          <w:rFonts w:ascii="Times New Roman" w:hAnsi="Times New Roman"/>
          <w:color w:val="000000"/>
          <w:sz w:val="23"/>
        </w:rPr>
      </w:pPr>
      <w:r>
        <w:rPr>
          <w:rFonts w:ascii="Times New Roman" w:hAnsi="Times New Roman"/>
          <w:color w:val="000000"/>
          <w:sz w:val="23"/>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w:t>
      </w:r>
    </w:p>
    <w:p>
      <w:pPr>
        <w:pStyle w:val="TextBody"/>
        <w:bidi w:val="0"/>
        <w:jc w:val="both"/>
        <w:rPr/>
      </w:pPr>
      <w:r>
        <w:rPr/>
        <w:t> </w:t>
      </w:r>
    </w:p>
    <w:p>
      <w:pPr>
        <w:pStyle w:val="TextBody"/>
        <w:bidi w:val="0"/>
        <w:jc w:val="left"/>
        <w:rPr>
          <w:rFonts w:ascii="Times New Roman" w:hAnsi="Times New Roman"/>
          <w:color w:val="000000"/>
          <w:sz w:val="23"/>
        </w:rPr>
      </w:pPr>
      <w:r>
        <w:rPr>
          <w:rFonts w:ascii="Times New Roman" w:hAnsi="Times New Roman"/>
          <w:color w:val="000000"/>
          <w:sz w:val="23"/>
        </w:rPr>
        <w:t>IN WITNESS WHEREOF, the undersigned has caused this Power of Attorney to be executed as of July 30, 2026.</w:t>
      </w:r>
    </w:p>
    <w:p>
      <w:pPr>
        <w:pStyle w:val="TextBody"/>
        <w:bidi w:val="0"/>
        <w:jc w:val="left"/>
        <w:rPr/>
      </w:pPr>
      <w:r>
        <w:rPr/>
        <w:t> </w:t>
      </w:r>
    </w:p>
    <w:tbl>
      <w:tblPr>
        <w:tblW w:w="1647" w:type="dxa"/>
        <w:jc w:val="left"/>
        <w:tblInd w:w="0" w:type="dxa"/>
        <w:tblLayout w:type="fixed"/>
        <w:tblCellMar>
          <w:top w:w="28" w:type="dxa"/>
          <w:left w:w="28" w:type="dxa"/>
          <w:bottom w:w="28" w:type="dxa"/>
          <w:right w:w="28" w:type="dxa"/>
        </w:tblCellMar>
      </w:tblPr>
      <w:tblGrid>
        <w:gridCol w:w="1456"/>
        <w:gridCol w:w="191"/>
      </w:tblGrid>
      <w:tr>
        <w:trPr/>
        <w:tc>
          <w:tcPr>
            <w:tcW w:w="145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5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3"/>
              </w:rPr>
            </w:pPr>
            <w:r>
              <w:rPr>
                <w:rFonts w:ascii="Times New Roman" w:hAnsi="Times New Roman"/>
                <w:color w:val="000000"/>
                <w:sz w:val="23"/>
              </w:rPr>
              <w:t>/s/ Paul Sekhri</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3"/>
              </w:rPr>
            </w:pPr>
            <w:r>
              <w:rPr>
                <w:rFonts w:ascii="Times New Roman" w:hAnsi="Times New Roman"/>
                <w:color w:val="000000"/>
                <w:sz w:val="23"/>
              </w:rPr>
              <w:t>Paul Sekhri</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264519" TargetMode="External"/><Relationship Id="rId3" Type="http://schemas.openxmlformats.org/officeDocument/2006/relationships/hyperlink" Target="http://www.sec.gov/cgi-bin/browse-edgar?action=getcompany&amp;CIK=0001745648"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1036</Words>
  <Characters>5609</Characters>
  <CharactersWithSpaces>6593</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